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A9" w:rsidRDefault="002A7CA9" w:rsidP="002A7CA9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科技成果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“</w:t>
      </w: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先用后转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”</w:t>
      </w: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全面推广实施方案</w:t>
      </w:r>
    </w:p>
    <w:p w:rsidR="002A7CA9" w:rsidRDefault="002A7CA9" w:rsidP="002A7CA9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（征求意见稿）</w:t>
      </w:r>
    </w:p>
    <w:p w:rsidR="002A7CA9" w:rsidRDefault="002A7CA9" w:rsidP="002A7CA9">
      <w:pPr>
        <w:widowControl/>
        <w:spacing w:line="600" w:lineRule="exact"/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 xml:space="preserve"> </w:t>
      </w:r>
    </w:p>
    <w:p w:rsidR="002A7CA9" w:rsidRDefault="002A7CA9" w:rsidP="002A7CA9">
      <w:pPr>
        <w:widowControl/>
        <w:autoSpaceDE w:val="0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为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落实《浙江省人民政府印发关于推动经济高质量发展若干政策的通知》（浙政发〔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号）精神，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推动科技成果转化机制创新，进一步提升科技成果转化效率，在前期探索试点的基础上，将科技成果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先免费试用、后付费转化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（以下简称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）向全省推广，并制定本实施方案。</w:t>
      </w:r>
    </w:p>
    <w:p w:rsidR="002A7CA9" w:rsidRDefault="002A7CA9" w:rsidP="002A7CA9">
      <w:pPr>
        <w:widowControl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一、总体要求</w:t>
      </w:r>
    </w:p>
    <w:p w:rsidR="002A7CA9" w:rsidRDefault="002A7CA9" w:rsidP="002A7CA9">
      <w:pPr>
        <w:widowControl/>
        <w:ind w:firstLineChars="200" w:firstLine="643"/>
        <w:rPr>
          <w:rFonts w:ascii="Times New Roman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color w:val="000000"/>
          <w:kern w:val="0"/>
          <w:sz w:val="32"/>
          <w:szCs w:val="32"/>
        </w:rPr>
        <w:t>（一）指导思想。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以习近平新时代中国特色社会主义思想为指导，深入贯彻党的二十大精神，</w:t>
      </w:r>
      <w:r>
        <w:rPr>
          <w:rFonts w:ascii="仿宋_GB2312" w:eastAsia="仿宋_GB2312" w:hAnsi="Times New Roman" w:cs="Times New Roman"/>
          <w:sz w:val="32"/>
          <w:szCs w:val="32"/>
        </w:rPr>
        <w:t>全面贯彻科技创新和人才强省首位战略，强力推进创新深化、改革攻坚、开放提升，</w:t>
      </w:r>
      <w:r>
        <w:rPr>
          <w:rFonts w:ascii="仿宋_GB2312" w:eastAsia="仿宋_GB2312" w:hAnsi="Times New Roman" w:hint="eastAsia"/>
          <w:sz w:val="32"/>
          <w:szCs w:val="32"/>
        </w:rPr>
        <w:t>聚焦</w:t>
      </w:r>
      <w:r>
        <w:rPr>
          <w:rFonts w:ascii="Times New Roman" w:eastAsia="仿宋_GB2312" w:hAnsi="Times New Roman" w:cs="Times New Roman"/>
          <w:sz w:val="32"/>
          <w:szCs w:val="32"/>
        </w:rPr>
        <w:t>“ 315 ”</w:t>
      </w:r>
      <w:r>
        <w:rPr>
          <w:rFonts w:ascii="仿宋_GB2312" w:eastAsia="仿宋_GB2312" w:hAnsi="Times New Roman" w:cs="Times New Roman"/>
          <w:sz w:val="32"/>
          <w:szCs w:val="32"/>
        </w:rPr>
        <w:t>科技创新体系，坚持问题导向、目标导向、效果导向，</w:t>
      </w:r>
      <w:r>
        <w:rPr>
          <w:rFonts w:ascii="仿宋_GB2312" w:eastAsia="仿宋_GB2312" w:hAnsi="Times New Roman" w:hint="eastAsia"/>
          <w:sz w:val="32"/>
          <w:szCs w:val="32"/>
        </w:rPr>
        <w:t>牢固树立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科技成果只有转化才能真正实现创新价值、不转化是最大损失的理念，</w:t>
      </w:r>
      <w:r>
        <w:rPr>
          <w:rFonts w:ascii="仿宋_GB2312" w:eastAsia="仿宋_GB2312" w:hAnsi="Times New Roman" w:cs="Times New Roman"/>
          <w:sz w:val="32"/>
          <w:szCs w:val="32"/>
        </w:rPr>
        <w:t>通过全面推广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科技成果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模式机制，释放科技成果转化更大活力，</w:t>
      </w:r>
      <w:r>
        <w:rPr>
          <w:rFonts w:ascii="仿宋_GB2312" w:eastAsia="仿宋_GB2312" w:hAnsi="Times New Roman" w:cs="Times New Roman"/>
          <w:sz w:val="32"/>
          <w:szCs w:val="32"/>
        </w:rPr>
        <w:t>推动科技成果加快向现实生产力转化，为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两个先行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提供强大科技支撑。</w:t>
      </w:r>
    </w:p>
    <w:p w:rsidR="002A7CA9" w:rsidRDefault="002A7CA9" w:rsidP="002A7CA9">
      <w:pPr>
        <w:widowControl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color w:val="000000"/>
          <w:kern w:val="0"/>
          <w:sz w:val="32"/>
          <w:szCs w:val="32"/>
        </w:rPr>
        <w:t>（二）主要目标。</w:t>
      </w:r>
      <w:r>
        <w:rPr>
          <w:rFonts w:ascii="仿宋_GB2312" w:eastAsia="仿宋_GB2312" w:hAnsi="Times New Roman" w:cs="Times New Roman"/>
          <w:sz w:val="32"/>
          <w:szCs w:val="32"/>
        </w:rPr>
        <w:t>在前期试点的基础上，将科技成果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模式机制向省内外高校院所、医疗卫生机构、新型研发机构、技术转移机构、中小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微企业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全面推广，减少</w:t>
      </w:r>
      <w:r>
        <w:rPr>
          <w:rFonts w:ascii="仿宋_GB2312" w:eastAsia="仿宋_GB2312" w:hAnsi="Times New Roman" w:hint="eastAsia"/>
          <w:sz w:val="32"/>
          <w:szCs w:val="32"/>
        </w:rPr>
        <w:t>因信息不对称、供需不匹配带来的交易成本</w:t>
      </w:r>
      <w:r>
        <w:rPr>
          <w:rFonts w:ascii="仿宋_GB2312" w:eastAsia="仿宋_GB2312" w:hAnsi="Times New Roman" w:cs="Times New Roman"/>
          <w:sz w:val="32"/>
          <w:szCs w:val="32"/>
        </w:rPr>
        <w:t>，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降低中小企业承接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转化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科技</w:t>
      </w:r>
      <w:r>
        <w:rPr>
          <w:rFonts w:ascii="仿宋_GB2312" w:eastAsia="仿宋_GB2312" w:hAnsi="Times New Roman" w:cs="Times New Roman"/>
          <w:sz w:val="32"/>
          <w:szCs w:val="32"/>
        </w:rPr>
        <w:t>成果</w:t>
      </w:r>
      <w:r>
        <w:rPr>
          <w:rFonts w:ascii="仿宋_GB2312" w:eastAsia="仿宋_GB2312" w:hAnsi="Times New Roman" w:hint="eastAsia"/>
          <w:sz w:val="32"/>
          <w:szCs w:val="32"/>
        </w:rPr>
        <w:t>的</w:t>
      </w:r>
      <w:r>
        <w:rPr>
          <w:rFonts w:ascii="仿宋_GB2312" w:eastAsia="仿宋_GB2312" w:hAnsi="Times New Roman" w:cs="Times New Roman"/>
          <w:sz w:val="32"/>
          <w:szCs w:val="32"/>
        </w:rPr>
        <w:t>风险，推动完善相关制度</w:t>
      </w:r>
      <w:r>
        <w:rPr>
          <w:rFonts w:ascii="仿宋_GB2312" w:eastAsia="仿宋_GB2312" w:hAnsi="Times New Roman" w:hint="eastAsia"/>
          <w:sz w:val="32"/>
          <w:szCs w:val="32"/>
        </w:rPr>
        <w:t>规定</w:t>
      </w:r>
      <w:r>
        <w:rPr>
          <w:rFonts w:ascii="仿宋_GB2312" w:eastAsia="仿宋_GB2312" w:hAnsi="Times New Roman" w:cs="Times New Roman"/>
          <w:sz w:val="32"/>
          <w:szCs w:val="32"/>
        </w:rPr>
        <w:t>和政策措施，进</w:t>
      </w:r>
      <w:r>
        <w:rPr>
          <w:rFonts w:ascii="仿宋_GB2312" w:eastAsia="仿宋_GB2312" w:hAnsi="Times New Roman" w:cs="Times New Roman"/>
          <w:sz w:val="32"/>
          <w:szCs w:val="32"/>
        </w:rPr>
        <w:lastRenderedPageBreak/>
        <w:t>一步提升科技成果转化效率，形成可复制、可推广的经验做法，争取在全国范围内进行推广。</w:t>
      </w:r>
    </w:p>
    <w:p w:rsidR="002A7CA9" w:rsidRDefault="002A7CA9" w:rsidP="002A7CA9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二、概念定义</w:t>
      </w:r>
    </w:p>
    <w:p w:rsidR="002A7CA9" w:rsidRDefault="002A7CA9" w:rsidP="002A7CA9">
      <w:pPr>
        <w:widowControl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sz w:val="32"/>
          <w:szCs w:val="32"/>
        </w:rPr>
        <w:t>（一）科技成果。</w:t>
      </w:r>
      <w:r>
        <w:rPr>
          <w:rFonts w:ascii="仿宋_GB2312" w:eastAsia="仿宋_GB2312" w:hAnsi="Times New Roman" w:cs="Times New Roman"/>
          <w:sz w:val="32"/>
          <w:szCs w:val="32"/>
        </w:rPr>
        <w:t>即通过科学研究与技术开发所产生的具有实用价值的专利技术，以及计算机软件、集成电路布图设计、植物新品种等非专利技术和信息。</w:t>
      </w:r>
    </w:p>
    <w:p w:rsidR="002A7CA9" w:rsidRDefault="002A7CA9" w:rsidP="002A7CA9">
      <w:pPr>
        <w:widowControl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“</w:t>
      </w:r>
      <w:r>
        <w:rPr>
          <w:rFonts w:ascii="楷体_GB2312" w:eastAsia="楷体_GB2312" w:hAnsi="Times New Roman" w:cs="Times New Roman"/>
          <w:b/>
          <w:bCs/>
          <w:sz w:val="32"/>
          <w:szCs w:val="32"/>
        </w:rPr>
        <w:t>先用后转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”</w:t>
      </w:r>
      <w:r>
        <w:rPr>
          <w:rFonts w:ascii="楷体_GB2312" w:eastAsia="楷体_GB2312" w:hAnsi="Times New Roman" w:cs="Times New Roman"/>
          <w:b/>
          <w:bCs/>
          <w:sz w:val="32"/>
          <w:szCs w:val="32"/>
        </w:rPr>
        <w:t>。</w:t>
      </w:r>
      <w:r>
        <w:rPr>
          <w:rFonts w:ascii="仿宋_GB2312" w:eastAsia="仿宋_GB2312" w:hAnsi="Times New Roman" w:cs="Times New Roman"/>
          <w:sz w:val="32"/>
          <w:szCs w:val="32"/>
        </w:rPr>
        <w:t>即高校院所、医疗卫生机构、新型研发机构</w:t>
      </w:r>
      <w:r>
        <w:rPr>
          <w:rFonts w:ascii="仿宋_GB2312" w:eastAsia="仿宋_GB2312" w:hAnsi="Times New Roman" w:hint="eastAsia"/>
          <w:sz w:val="32"/>
          <w:szCs w:val="32"/>
        </w:rPr>
        <w:t>等单位</w:t>
      </w:r>
      <w:r>
        <w:rPr>
          <w:rFonts w:ascii="仿宋_GB2312" w:eastAsia="仿宋_GB2312" w:hAnsi="Times New Roman" w:cs="Times New Roman"/>
          <w:sz w:val="32"/>
          <w:szCs w:val="32"/>
        </w:rPr>
        <w:t>以普通许可的方式将科技成果面向</w:t>
      </w:r>
      <w:r>
        <w:rPr>
          <w:rFonts w:ascii="仿宋_GB2312" w:eastAsia="仿宋_GB2312" w:hAnsi="Times New Roman" w:hint="eastAsia"/>
          <w:sz w:val="32"/>
          <w:szCs w:val="32"/>
        </w:rPr>
        <w:t>一个或多个被许可人</w:t>
      </w:r>
      <w:r>
        <w:rPr>
          <w:rFonts w:ascii="仿宋_GB2312" w:eastAsia="仿宋_GB2312" w:hAnsi="Times New Roman" w:cs="Times New Roman"/>
          <w:sz w:val="32"/>
          <w:szCs w:val="32"/>
        </w:rPr>
        <w:t>免费</w:t>
      </w:r>
      <w:r>
        <w:rPr>
          <w:rFonts w:ascii="仿宋_GB2312" w:eastAsia="仿宋_GB2312" w:hAnsi="Times New Roman" w:hint="eastAsia"/>
          <w:sz w:val="32"/>
          <w:szCs w:val="32"/>
        </w:rPr>
        <w:t>试用</w:t>
      </w:r>
      <w:r>
        <w:rPr>
          <w:rFonts w:ascii="仿宋_GB2312" w:eastAsia="仿宋_GB2312" w:hAnsi="Times New Roman" w:cs="Times New Roman"/>
          <w:sz w:val="32"/>
          <w:szCs w:val="32"/>
        </w:rPr>
        <w:t>一定期限后，交易双方根据自愿原则再行约定付费转让（许可）事宜。</w:t>
      </w:r>
    </w:p>
    <w:p w:rsidR="002A7CA9" w:rsidRDefault="002A7CA9" w:rsidP="002A7CA9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三、重点任务</w:t>
      </w:r>
    </w:p>
    <w:p w:rsidR="002A7CA9" w:rsidRDefault="002A7CA9" w:rsidP="002A7CA9">
      <w:pPr>
        <w:widowControl/>
        <w:ind w:firstLineChars="200" w:firstLine="643"/>
        <w:rPr>
          <w:rFonts w:ascii="Times New Roman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sz w:val="32"/>
          <w:szCs w:val="32"/>
        </w:rPr>
        <w:t>（一）扩大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“</w:t>
      </w:r>
      <w:r>
        <w:rPr>
          <w:rFonts w:ascii="楷体_GB2312" w:eastAsia="楷体_GB2312" w:hAnsi="Times New Roman" w:cs="Times New Roman"/>
          <w:b/>
          <w:bCs/>
          <w:sz w:val="32"/>
          <w:szCs w:val="32"/>
        </w:rPr>
        <w:t>先用后转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”</w:t>
      </w:r>
      <w:r>
        <w:rPr>
          <w:rFonts w:ascii="楷体_GB2312" w:eastAsia="楷体_GB2312" w:hAnsi="Times New Roman" w:cs="Times New Roman"/>
          <w:b/>
          <w:bCs/>
          <w:sz w:val="32"/>
          <w:szCs w:val="32"/>
        </w:rPr>
        <w:t>成果池。</w:t>
      </w:r>
      <w:r>
        <w:rPr>
          <w:rFonts w:ascii="仿宋_GB2312" w:eastAsia="仿宋_GB2312" w:hAnsi="Times New Roman" w:cs="Times New Roman"/>
          <w:sz w:val="32"/>
          <w:szCs w:val="32"/>
        </w:rPr>
        <w:t>鼓励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引导省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内外高校院所、医疗卫生机构、新型研发机构</w:t>
      </w:r>
      <w:r>
        <w:rPr>
          <w:rFonts w:ascii="仿宋_GB2312" w:eastAsia="仿宋_GB2312" w:hAnsi="Times New Roman" w:hint="eastAsia"/>
          <w:sz w:val="32"/>
          <w:szCs w:val="32"/>
        </w:rPr>
        <w:t>等单位</w:t>
      </w:r>
      <w:r>
        <w:rPr>
          <w:rFonts w:ascii="仿宋_GB2312" w:eastAsia="仿宋_GB2312" w:hAnsi="Times New Roman" w:cs="Times New Roman"/>
          <w:sz w:val="32"/>
          <w:szCs w:val="32"/>
        </w:rPr>
        <w:t>将更多的职务科技成果纳入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成果池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/>
          <w:sz w:val="32"/>
          <w:szCs w:val="32"/>
        </w:rPr>
        <w:t>财政资金支持形成的科技成果，除涉及国防、国家安全、国家利益、重大社会公共利益外，在三年内未转化的，原则上均应纳入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成果池进行转化。</w:t>
      </w:r>
      <w:r>
        <w:rPr>
          <w:rFonts w:ascii="仿宋_GB2312" w:eastAsia="仿宋_GB2312" w:hAnsi="Times New Roman" w:hint="eastAsia"/>
          <w:sz w:val="32"/>
          <w:szCs w:val="32"/>
        </w:rPr>
        <w:t>条件成熟后，推动中国浙江网上技术市场所有成果均支持</w:t>
      </w:r>
      <w:r>
        <w:rPr>
          <w:rFonts w:ascii="Times New Roman" w:eastAsia="仿宋_GB2312" w:hAnsi="Times New Roman" w:hint="eastAsia"/>
          <w:sz w:val="32"/>
          <w:szCs w:val="32"/>
        </w:rPr>
        <w:t>“先用后转”。</w:t>
      </w:r>
    </w:p>
    <w:p w:rsidR="002A7CA9" w:rsidRDefault="002A7CA9" w:rsidP="002A7CA9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sz w:val="32"/>
          <w:szCs w:val="32"/>
        </w:rPr>
        <w:t>（二）完善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“</w:t>
      </w:r>
      <w:r>
        <w:rPr>
          <w:rFonts w:ascii="楷体_GB2312" w:eastAsia="楷体_GB2312" w:hAnsi="Times New Roman" w:cs="Times New Roman"/>
          <w:b/>
          <w:bCs/>
          <w:sz w:val="32"/>
          <w:szCs w:val="32"/>
        </w:rPr>
        <w:t>先用后转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”</w:t>
      </w:r>
      <w:r>
        <w:rPr>
          <w:rFonts w:ascii="楷体_GB2312" w:eastAsia="楷体_GB2312" w:hAnsi="Times New Roman" w:cs="Times New Roman"/>
          <w:b/>
          <w:bCs/>
          <w:sz w:val="32"/>
          <w:szCs w:val="32"/>
        </w:rPr>
        <w:t>规则标准。</w:t>
      </w:r>
      <w:r>
        <w:rPr>
          <w:rFonts w:ascii="仿宋_GB2312" w:eastAsia="仿宋_GB2312" w:hAnsi="Times New Roman" w:cs="Times New Roman"/>
          <w:sz w:val="32"/>
          <w:szCs w:val="32"/>
        </w:rPr>
        <w:t>推动《科技成果公开交易规范》通用性省级地方标准在全省范围内落地实施，制定完善科技成果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规则标准和工作指引，明确科技成果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具体审批流程、交易步骤、异议处置等事项，</w:t>
      </w:r>
      <w:r>
        <w:rPr>
          <w:rFonts w:ascii="仿宋_GB2312" w:eastAsia="仿宋_GB2312" w:hAnsi="Times New Roman" w:cs="Times New Roman"/>
          <w:sz w:val="32"/>
          <w:szCs w:val="32"/>
        </w:rPr>
        <w:lastRenderedPageBreak/>
        <w:t>确保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hint="eastAsia"/>
          <w:sz w:val="32"/>
          <w:szCs w:val="32"/>
        </w:rPr>
        <w:t>机制</w:t>
      </w:r>
      <w:r>
        <w:rPr>
          <w:rFonts w:ascii="仿宋_GB2312" w:eastAsia="仿宋_GB2312" w:hAnsi="Times New Roman" w:cs="Times New Roman"/>
          <w:sz w:val="32"/>
          <w:szCs w:val="32"/>
        </w:rPr>
        <w:t>规范运行、安全运行、稳定运行。</w:t>
      </w:r>
    </w:p>
    <w:p w:rsidR="002A7CA9" w:rsidRDefault="002A7CA9" w:rsidP="002A7CA9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sz w:val="32"/>
          <w:szCs w:val="32"/>
        </w:rPr>
        <w:t>（三）强化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“</w:t>
      </w:r>
      <w:r>
        <w:rPr>
          <w:rFonts w:ascii="楷体_GB2312" w:eastAsia="楷体_GB2312" w:hAnsi="Times New Roman" w:cs="Times New Roman"/>
          <w:b/>
          <w:bCs/>
          <w:sz w:val="32"/>
          <w:szCs w:val="32"/>
        </w:rPr>
        <w:t>先用后转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”</w:t>
      </w:r>
      <w:r>
        <w:rPr>
          <w:rFonts w:ascii="楷体_GB2312" w:eastAsia="楷体_GB2312" w:hAnsi="Times New Roman" w:cs="Times New Roman"/>
          <w:b/>
          <w:bCs/>
          <w:sz w:val="32"/>
          <w:szCs w:val="32"/>
        </w:rPr>
        <w:t>权益保障。</w:t>
      </w:r>
      <w:r>
        <w:rPr>
          <w:rFonts w:ascii="仿宋_GB2312" w:eastAsia="仿宋_GB2312" w:hAnsi="Times New Roman" w:cs="Times New Roman"/>
          <w:sz w:val="32"/>
          <w:szCs w:val="32"/>
        </w:rPr>
        <w:t>鼓励支持商业银行、保险机构、担保机构等开发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专项金融保险产品，鼓励市县运用创新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券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对企业投保费用给予不低于</w:t>
      </w:r>
      <w:r>
        <w:rPr>
          <w:rFonts w:ascii="Times New Roman" w:eastAsia="仿宋_GB2312" w:hAnsi="Times New Roman" w:cs="Times New Roman"/>
          <w:sz w:val="32"/>
          <w:szCs w:val="32"/>
        </w:rPr>
        <w:t>80%</w:t>
      </w:r>
      <w:r>
        <w:rPr>
          <w:rFonts w:ascii="仿宋_GB2312" w:eastAsia="仿宋_GB2312" w:hAnsi="Times New Roman" w:cs="Times New Roman"/>
          <w:sz w:val="32"/>
          <w:szCs w:val="32"/>
        </w:rPr>
        <w:t>的兑付补助，提供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金融保险服务的机构可作为创新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券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的接收对象。制定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格式合同文本，提示交易双方权责义务和潜在风险。联动知识产权</w:t>
      </w:r>
      <w:r>
        <w:rPr>
          <w:rFonts w:ascii="仿宋_GB2312" w:eastAsia="仿宋_GB2312" w:hAnsi="Times New Roman" w:hint="eastAsia"/>
          <w:sz w:val="32"/>
          <w:szCs w:val="32"/>
        </w:rPr>
        <w:t>服务</w:t>
      </w:r>
      <w:r>
        <w:rPr>
          <w:rFonts w:ascii="仿宋_GB2312" w:eastAsia="仿宋_GB2312" w:hAnsi="Times New Roman" w:cs="Times New Roman"/>
          <w:sz w:val="32"/>
          <w:szCs w:val="32"/>
        </w:rPr>
        <w:t>机构、信用机构，建立知识产权权益保障机制和风险补偿机制。</w:t>
      </w:r>
    </w:p>
    <w:p w:rsidR="002A7CA9" w:rsidRDefault="002A7CA9" w:rsidP="002A7CA9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sz w:val="32"/>
          <w:szCs w:val="32"/>
        </w:rPr>
        <w:t>（四）优化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“</w:t>
      </w:r>
      <w:r>
        <w:rPr>
          <w:rFonts w:ascii="楷体_GB2312" w:eastAsia="楷体_GB2312" w:hAnsi="Times New Roman" w:cs="Times New Roman"/>
          <w:b/>
          <w:bCs/>
          <w:sz w:val="32"/>
          <w:szCs w:val="32"/>
        </w:rPr>
        <w:t>先用后转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”</w:t>
      </w:r>
      <w:r>
        <w:rPr>
          <w:rFonts w:ascii="楷体_GB2312" w:eastAsia="楷体_GB2312" w:hAnsi="Times New Roman" w:cs="Times New Roman"/>
          <w:b/>
          <w:bCs/>
          <w:sz w:val="32"/>
          <w:szCs w:val="32"/>
        </w:rPr>
        <w:t>运营服务。</w:t>
      </w:r>
      <w:r>
        <w:rPr>
          <w:rFonts w:ascii="仿宋_GB2312" w:eastAsia="仿宋_GB2312" w:hAnsi="Times New Roman" w:cs="Times New Roman"/>
          <w:sz w:val="32"/>
          <w:szCs w:val="32"/>
        </w:rPr>
        <w:t>各地根据产业特点，依托</w:t>
      </w:r>
      <w:r>
        <w:rPr>
          <w:rFonts w:ascii="仿宋_GB2312" w:eastAsia="仿宋_GB2312" w:hAnsi="Times New Roman" w:hint="eastAsia"/>
          <w:sz w:val="32"/>
          <w:szCs w:val="32"/>
        </w:rPr>
        <w:t>地方技术</w:t>
      </w:r>
      <w:r>
        <w:rPr>
          <w:rFonts w:ascii="仿宋_GB2312" w:eastAsia="仿宋_GB2312" w:hAnsi="Times New Roman" w:cs="Times New Roman"/>
          <w:sz w:val="32"/>
          <w:szCs w:val="32"/>
        </w:rPr>
        <w:t>分市场</w:t>
      </w:r>
      <w:r>
        <w:rPr>
          <w:rFonts w:ascii="仿宋_GB2312" w:eastAsia="仿宋_GB2312" w:hAnsi="Times New Roman" w:hint="eastAsia"/>
          <w:sz w:val="32"/>
          <w:szCs w:val="32"/>
        </w:rPr>
        <w:t>等</w:t>
      </w:r>
      <w:r>
        <w:rPr>
          <w:rFonts w:ascii="仿宋_GB2312" w:eastAsia="仿宋_GB2312" w:hAnsi="Times New Roman" w:cs="Times New Roman"/>
          <w:sz w:val="32"/>
          <w:szCs w:val="32"/>
        </w:rPr>
        <w:t>组建科技成果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hint="eastAsia"/>
          <w:sz w:val="32"/>
          <w:szCs w:val="32"/>
        </w:rPr>
        <w:t>专责</w:t>
      </w:r>
      <w:r>
        <w:rPr>
          <w:rFonts w:ascii="仿宋_GB2312" w:eastAsia="仿宋_GB2312" w:hAnsi="Times New Roman" w:cs="Times New Roman"/>
          <w:sz w:val="32"/>
          <w:szCs w:val="32"/>
        </w:rPr>
        <w:t>运营机构，开展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成果路演展示、</w:t>
      </w:r>
      <w:r>
        <w:rPr>
          <w:rFonts w:ascii="仿宋_GB2312" w:eastAsia="仿宋_GB2312" w:hAnsi="Times New Roman" w:hint="eastAsia"/>
          <w:sz w:val="32"/>
          <w:szCs w:val="32"/>
        </w:rPr>
        <w:t>验证中试、</w:t>
      </w:r>
      <w:r>
        <w:rPr>
          <w:rFonts w:ascii="仿宋_GB2312" w:eastAsia="仿宋_GB2312" w:hAnsi="Times New Roman" w:cs="Times New Roman"/>
          <w:sz w:val="32"/>
          <w:szCs w:val="32"/>
        </w:rPr>
        <w:t>撮合对接</w:t>
      </w:r>
      <w:r>
        <w:rPr>
          <w:rFonts w:ascii="仿宋_GB2312" w:eastAsia="仿宋_GB2312" w:hAnsi="Times New Roman" w:hint="eastAsia"/>
          <w:sz w:val="32"/>
          <w:szCs w:val="32"/>
        </w:rPr>
        <w:t>等服务</w:t>
      </w:r>
      <w:r>
        <w:rPr>
          <w:rFonts w:ascii="仿宋_GB2312" w:eastAsia="仿宋_GB2312" w:hAnsi="Times New Roman" w:cs="Times New Roman"/>
          <w:sz w:val="32"/>
          <w:szCs w:val="32"/>
        </w:rPr>
        <w:t>。对促成合作转化的机构落实不低于合作金额</w:t>
      </w:r>
      <w:r>
        <w:rPr>
          <w:rFonts w:ascii="Times New Roman" w:eastAsia="仿宋_GB2312" w:hAnsi="Times New Roman" w:cs="Times New Roman"/>
          <w:sz w:val="32"/>
          <w:szCs w:val="32"/>
        </w:rPr>
        <w:t>5%</w:t>
      </w:r>
      <w:r>
        <w:rPr>
          <w:rFonts w:ascii="仿宋_GB2312" w:eastAsia="仿宋_GB2312" w:hAnsi="Times New Roman" w:cs="Times New Roman"/>
          <w:sz w:val="32"/>
          <w:szCs w:val="32"/>
        </w:rPr>
        <w:t>的服务费。鼓励市县财政对运营机构给予经费补贴。</w:t>
      </w:r>
    </w:p>
    <w:p w:rsidR="002A7CA9" w:rsidRDefault="002A7CA9" w:rsidP="002A7CA9">
      <w:pPr>
        <w:pStyle w:val="BodyTextIndent2bb4d1f65-70a2-4f69-8af3-194d898dc300"/>
        <w:ind w:leftChars="0" w:left="0"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sz w:val="32"/>
          <w:szCs w:val="32"/>
        </w:rPr>
        <w:t>（五）迭代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“</w:t>
      </w:r>
      <w:r>
        <w:rPr>
          <w:rFonts w:ascii="楷体_GB2312" w:eastAsia="楷体_GB2312" w:hAnsi="Times New Roman" w:cs="Times New Roman"/>
          <w:b/>
          <w:bCs/>
          <w:sz w:val="32"/>
          <w:szCs w:val="32"/>
        </w:rPr>
        <w:t>先用后转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”</w:t>
      </w:r>
      <w:r>
        <w:rPr>
          <w:rFonts w:ascii="楷体_GB2312" w:eastAsia="楷体_GB2312" w:hAnsi="Times New Roman" w:cs="Times New Roman"/>
          <w:b/>
          <w:bCs/>
          <w:sz w:val="32"/>
          <w:szCs w:val="32"/>
        </w:rPr>
        <w:t>支撑系统。</w:t>
      </w:r>
      <w:r>
        <w:rPr>
          <w:rFonts w:ascii="仿宋_GB2312" w:eastAsia="仿宋_GB2312" w:hAnsi="Times New Roman" w:cs="Times New Roman"/>
          <w:sz w:val="32"/>
          <w:szCs w:val="32"/>
        </w:rPr>
        <w:t>依托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供需荟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场景，鼓励引导技术转移人员帮助企业挖掘技术需求、寻找适配成果、形成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意向；依托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安心屋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场景构建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成果池，对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hint="eastAsia"/>
          <w:sz w:val="32"/>
          <w:szCs w:val="32"/>
        </w:rPr>
        <w:t>职务科技</w:t>
      </w:r>
      <w:r>
        <w:rPr>
          <w:rFonts w:ascii="仿宋_GB2312" w:eastAsia="仿宋_GB2312" w:hAnsi="Times New Roman" w:cs="Times New Roman"/>
          <w:sz w:val="32"/>
          <w:szCs w:val="32"/>
        </w:rPr>
        <w:t>成果进行披露管理、内控审批；依托中国浙江网上技术市场，对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成果进行展示和交易，形成闭环衔接、功能完备的系统工具支撑。</w:t>
      </w:r>
    </w:p>
    <w:p w:rsidR="002A7CA9" w:rsidRDefault="002A7CA9" w:rsidP="002A7CA9">
      <w:pPr>
        <w:widowControl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四、组织实施</w:t>
      </w:r>
    </w:p>
    <w:p w:rsidR="002A7CA9" w:rsidRDefault="002A7CA9" w:rsidP="002A7CA9">
      <w:pPr>
        <w:widowControl/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color w:val="000000"/>
          <w:kern w:val="0"/>
          <w:sz w:val="32"/>
          <w:szCs w:val="32"/>
        </w:rPr>
        <w:lastRenderedPageBreak/>
        <w:t>（一）强化组织领导。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各地各部门要牢固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强化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责任意识，将科技成果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机制的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推广实施作为落实创新深化、改革攻坚的具体抓手，纳入科技创新体制机制改革体系，健全组织体系、工作体系、政策体系、评价体系，确保推广实施工作有序有力、实战实效。</w:t>
      </w:r>
    </w:p>
    <w:p w:rsidR="002A7CA9" w:rsidRDefault="002A7CA9" w:rsidP="002A7CA9">
      <w:pPr>
        <w:widowControl/>
        <w:ind w:firstLineChars="200" w:firstLine="643"/>
        <w:rPr>
          <w:rFonts w:ascii="Times New Roman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color w:val="000000"/>
          <w:kern w:val="0"/>
          <w:sz w:val="32"/>
          <w:szCs w:val="32"/>
        </w:rPr>
        <w:t>（二）强化协同分工。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省科技厅会同省级有关部门加强统筹谋划、多跨协同，整合各方面政策资源，强化工作合力和保障合力。各级科技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主管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部门、高校院所、新型研发机构、医疗卫生机构结合本地本部门实际抓好宣传发动、协调和政策服务，确保推广实施工作取得实效。</w:t>
      </w:r>
    </w:p>
    <w:p w:rsidR="002A7CA9" w:rsidRDefault="002A7CA9" w:rsidP="002A7CA9">
      <w:pPr>
        <w:widowControl/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color w:val="000000"/>
          <w:kern w:val="0"/>
          <w:sz w:val="32"/>
          <w:szCs w:val="32"/>
        </w:rPr>
        <w:t>（三）加强监测评估。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省科技厅依托中国浙江网上技术市场和数字化应用场景，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开展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科技成果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实时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监测分析，将各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主体开展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绩效纳入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成果转化活跃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指数评价。对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推广实施中的典型案例和经验做法及时总结宣传，持续扩大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机制模式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影响力和示范效应。</w:t>
      </w:r>
    </w:p>
    <w:p w:rsidR="002A7CA9" w:rsidRDefault="002A7CA9" w:rsidP="002A7CA9">
      <w:pPr>
        <w:widowControl/>
        <w:ind w:firstLineChars="200" w:firstLine="643"/>
      </w:pPr>
      <w:r>
        <w:rPr>
          <w:rFonts w:ascii="楷体_GB2312" w:eastAsia="楷体_GB2312" w:hAnsi="Times New Roman" w:cs="Times New Roman"/>
          <w:b/>
          <w:bCs/>
          <w:color w:val="000000"/>
          <w:kern w:val="0"/>
          <w:sz w:val="32"/>
          <w:szCs w:val="32"/>
        </w:rPr>
        <w:t>（四）加强政策保障。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落实职务科技成果单列管理要求，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成果及其作价形成的股权不纳入国有资产保值增值考核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范围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。高校院所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过程</w:t>
      </w:r>
      <w:r>
        <w:rPr>
          <w:rFonts w:ascii="仿宋_GB2312" w:eastAsia="仿宋_GB2312" w:hAnsi="Times New Roman" w:cs="Times New Roman"/>
          <w:sz w:val="32"/>
          <w:szCs w:val="32"/>
        </w:rPr>
        <w:t>中产生的产学研合作项目，符合条件的可认定为省重点研发计划项目。对技术转移机构和人员实行积分管理，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先用后转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hint="eastAsia"/>
          <w:sz w:val="32"/>
          <w:szCs w:val="32"/>
        </w:rPr>
        <w:t>绩效突出的作为年度</w:t>
      </w:r>
      <w:r>
        <w:rPr>
          <w:rFonts w:ascii="仿宋_GB2312" w:eastAsia="仿宋_GB2312" w:hAnsi="Times New Roman" w:cs="Times New Roman"/>
          <w:sz w:val="32"/>
          <w:szCs w:val="32"/>
        </w:rPr>
        <w:t>优秀</w:t>
      </w:r>
      <w:r>
        <w:rPr>
          <w:rFonts w:ascii="仿宋_GB2312" w:eastAsia="仿宋_GB2312" w:hAnsi="Times New Roman" w:hint="eastAsia"/>
          <w:sz w:val="32"/>
          <w:szCs w:val="32"/>
        </w:rPr>
        <w:t>机构和个人</w:t>
      </w:r>
      <w:r>
        <w:rPr>
          <w:rFonts w:ascii="仿宋_GB2312" w:eastAsia="仿宋_GB2312" w:hAnsi="Times New Roman" w:cs="Times New Roman"/>
          <w:sz w:val="32"/>
          <w:szCs w:val="32"/>
        </w:rPr>
        <w:t>评选</w:t>
      </w:r>
      <w:r>
        <w:rPr>
          <w:rFonts w:ascii="仿宋_GB2312" w:eastAsia="仿宋_GB2312" w:hAnsi="Times New Roman" w:hint="eastAsia"/>
          <w:sz w:val="32"/>
          <w:szCs w:val="32"/>
        </w:rPr>
        <w:t>的重要依据</w:t>
      </w:r>
      <w:r>
        <w:rPr>
          <w:rFonts w:ascii="仿宋_GB2312" w:eastAsia="仿宋_GB2312" w:hAnsi="Times New Roman" w:cs="Times New Roman"/>
          <w:sz w:val="32"/>
          <w:szCs w:val="32"/>
        </w:rPr>
        <w:t>。</w:t>
      </w:r>
    </w:p>
    <w:p w:rsidR="001B7975" w:rsidRPr="002A7CA9" w:rsidRDefault="001B7975">
      <w:bookmarkStart w:id="0" w:name="_GoBack"/>
      <w:bookmarkEnd w:id="0"/>
    </w:p>
    <w:sectPr w:rsidR="001B7975" w:rsidRPr="002A7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A9"/>
    <w:rsid w:val="001B7975"/>
    <w:rsid w:val="002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A7CA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Indent2bb4d1f65-70a2-4f69-8af3-194d898dc300">
    <w:name w:val="Body Text Indent 2_bb4d1f65-70a2-4f69-8af3-194d898dc300"/>
    <w:basedOn w:val="a"/>
    <w:rsid w:val="002A7CA9"/>
    <w:pPr>
      <w:spacing w:before="100" w:beforeAutospacing="1" w:after="100" w:afterAutospacing="1" w:line="480" w:lineRule="auto"/>
      <w:ind w:leftChars="200" w:left="200"/>
    </w:pPr>
  </w:style>
  <w:style w:type="paragraph" w:styleId="a0">
    <w:name w:val="Body Text"/>
    <w:basedOn w:val="a"/>
    <w:link w:val="Char"/>
    <w:uiPriority w:val="99"/>
    <w:semiHidden/>
    <w:unhideWhenUsed/>
    <w:rsid w:val="002A7CA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2A7CA9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A7CA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Indent2bb4d1f65-70a2-4f69-8af3-194d898dc300">
    <w:name w:val="Body Text Indent 2_bb4d1f65-70a2-4f69-8af3-194d898dc300"/>
    <w:basedOn w:val="a"/>
    <w:rsid w:val="002A7CA9"/>
    <w:pPr>
      <w:spacing w:before="100" w:beforeAutospacing="1" w:after="100" w:afterAutospacing="1" w:line="480" w:lineRule="auto"/>
      <w:ind w:leftChars="200" w:left="200"/>
    </w:pPr>
  </w:style>
  <w:style w:type="paragraph" w:styleId="a0">
    <w:name w:val="Body Text"/>
    <w:basedOn w:val="a"/>
    <w:link w:val="Char"/>
    <w:uiPriority w:val="99"/>
    <w:semiHidden/>
    <w:unhideWhenUsed/>
    <w:rsid w:val="002A7CA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2A7CA9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2023-03-02T06:05:00Z</dcterms:created>
  <dcterms:modified xsi:type="dcterms:W3CDTF">2023-03-02T06:05:00Z</dcterms:modified>
</cp:coreProperties>
</file>