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63" w:rsidRDefault="00434E63" w:rsidP="00434E63">
      <w:pPr>
        <w:tabs>
          <w:tab w:val="left" w:pos="4945"/>
          <w:tab w:val="right" w:pos="7736"/>
        </w:tabs>
        <w:spacing w:line="560" w:lineRule="exact"/>
        <w:ind w:right="1920"/>
        <w:contextualSpacing/>
        <w:rPr>
          <w:rFonts w:eastAsia="黑体"/>
          <w:bCs/>
          <w:szCs w:val="32"/>
        </w:rPr>
      </w:pPr>
      <w:r w:rsidRPr="00166433">
        <w:rPr>
          <w:rFonts w:eastAsia="黑体"/>
          <w:bCs/>
          <w:sz w:val="32"/>
          <w:szCs w:val="32"/>
        </w:rPr>
        <w:t>附件</w:t>
      </w:r>
      <w:r w:rsidRPr="00166433">
        <w:rPr>
          <w:rFonts w:eastAsia="黑体"/>
          <w:bCs/>
          <w:sz w:val="32"/>
          <w:szCs w:val="32"/>
        </w:rPr>
        <w:t>2</w:t>
      </w:r>
    </w:p>
    <w:p w:rsidR="00434E63" w:rsidRPr="00166433" w:rsidRDefault="00434E63" w:rsidP="00434E63">
      <w:pPr>
        <w:spacing w:line="640" w:lineRule="exact"/>
        <w:jc w:val="center"/>
        <w:rPr>
          <w:rFonts w:ascii="方正小标宋简体" w:eastAsia="方正小标宋简体" w:hAnsi="方正小标宋简体" w:cs="方正小标宋简体" w:hint="eastAsia"/>
          <w:sz w:val="44"/>
          <w:szCs w:val="44"/>
        </w:rPr>
      </w:pPr>
    </w:p>
    <w:p w:rsidR="00434E63" w:rsidRPr="00166433" w:rsidRDefault="00434E63" w:rsidP="00434E63">
      <w:pPr>
        <w:spacing w:line="640" w:lineRule="exact"/>
        <w:jc w:val="center"/>
        <w:rPr>
          <w:rFonts w:ascii="方正小标宋简体" w:eastAsia="方正小标宋简体" w:hAnsi="方正小标宋简体" w:cs="方正小标宋简体" w:hint="eastAsia"/>
          <w:sz w:val="44"/>
          <w:szCs w:val="44"/>
        </w:rPr>
      </w:pPr>
      <w:r w:rsidRPr="00166433">
        <w:rPr>
          <w:rFonts w:ascii="方正小标宋简体" w:eastAsia="方正小标宋简体" w:hAnsi="方正小标宋简体" w:cs="方正小标宋简体" w:hint="eastAsia"/>
          <w:sz w:val="44"/>
          <w:szCs w:val="44"/>
        </w:rPr>
        <w:t>2021年度浙江省杰出青年科学基金项目经费使用“包干制”试点项目清单</w:t>
      </w:r>
    </w:p>
    <w:p w:rsidR="00434E63" w:rsidRDefault="00434E63" w:rsidP="00434E63">
      <w:pPr>
        <w:spacing w:line="360" w:lineRule="exact"/>
        <w:jc w:val="center"/>
        <w:rPr>
          <w:rFonts w:ascii="仿宋_GB2312" w:eastAsia="仿宋_GB2312" w:hint="eastAsia"/>
          <w:b/>
          <w:sz w:val="32"/>
          <w:szCs w:val="32"/>
        </w:rPr>
      </w:pPr>
    </w:p>
    <w:tbl>
      <w:tblPr>
        <w:tblW w:w="5478" w:type="pct"/>
        <w:tblInd w:w="-269" w:type="dxa"/>
        <w:tblLook w:val="0000" w:firstRow="0" w:lastRow="0" w:firstColumn="0" w:lastColumn="0" w:noHBand="0" w:noVBand="0"/>
      </w:tblPr>
      <w:tblGrid>
        <w:gridCol w:w="769"/>
        <w:gridCol w:w="4249"/>
        <w:gridCol w:w="1430"/>
        <w:gridCol w:w="1270"/>
        <w:gridCol w:w="1619"/>
      </w:tblGrid>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b/>
                <w:color w:val="000000"/>
                <w:kern w:val="0"/>
                <w:sz w:val="28"/>
                <w:szCs w:val="28"/>
              </w:rPr>
            </w:pPr>
            <w:r w:rsidRPr="00166433">
              <w:rPr>
                <w:rFonts w:eastAsia="仿宋_GB2312"/>
                <w:b/>
                <w:color w:val="000000"/>
                <w:kern w:val="0"/>
                <w:sz w:val="28"/>
                <w:szCs w:val="28"/>
              </w:rPr>
              <w:t>序号</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b/>
                <w:color w:val="000000"/>
                <w:kern w:val="0"/>
                <w:sz w:val="28"/>
                <w:szCs w:val="28"/>
              </w:rPr>
            </w:pPr>
            <w:r w:rsidRPr="00166433">
              <w:rPr>
                <w:rFonts w:eastAsia="仿宋_GB2312"/>
                <w:b/>
                <w:color w:val="000000"/>
                <w:kern w:val="0"/>
                <w:sz w:val="28"/>
                <w:szCs w:val="28"/>
              </w:rPr>
              <w:t>项目名称</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b/>
                <w:color w:val="000000"/>
                <w:kern w:val="0"/>
                <w:sz w:val="28"/>
                <w:szCs w:val="28"/>
              </w:rPr>
            </w:pPr>
            <w:r w:rsidRPr="00166433">
              <w:rPr>
                <w:rFonts w:eastAsia="仿宋_GB2312"/>
                <w:b/>
                <w:color w:val="000000"/>
                <w:kern w:val="0"/>
                <w:sz w:val="28"/>
                <w:szCs w:val="28"/>
              </w:rPr>
              <w:t>试点单位</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b/>
                <w:color w:val="000000"/>
                <w:kern w:val="0"/>
                <w:sz w:val="28"/>
                <w:szCs w:val="28"/>
              </w:rPr>
            </w:pPr>
            <w:r w:rsidRPr="00166433">
              <w:rPr>
                <w:rFonts w:eastAsia="仿宋_GB2312"/>
                <w:b/>
                <w:color w:val="000000"/>
                <w:kern w:val="0"/>
                <w:sz w:val="28"/>
                <w:szCs w:val="28"/>
              </w:rPr>
              <w:t>负责人</w:t>
            </w:r>
          </w:p>
        </w:tc>
        <w:tc>
          <w:tcPr>
            <w:tcW w:w="867" w:type="pct"/>
            <w:tcBorders>
              <w:top w:val="single" w:sz="6" w:space="0" w:color="auto"/>
              <w:left w:val="single" w:sz="6" w:space="0" w:color="auto"/>
              <w:bottom w:val="single" w:sz="6" w:space="0" w:color="auto"/>
              <w:right w:val="single" w:sz="6" w:space="0" w:color="auto"/>
            </w:tcBorders>
          </w:tcPr>
          <w:p w:rsidR="00434E63" w:rsidRPr="00166433" w:rsidRDefault="00434E63" w:rsidP="00501A65">
            <w:pPr>
              <w:autoSpaceDE w:val="0"/>
              <w:autoSpaceDN w:val="0"/>
              <w:adjustRightInd w:val="0"/>
              <w:spacing w:line="340" w:lineRule="exact"/>
              <w:rPr>
                <w:rFonts w:eastAsia="仿宋_GB2312"/>
                <w:b/>
                <w:color w:val="000000"/>
                <w:kern w:val="0"/>
                <w:sz w:val="28"/>
                <w:szCs w:val="28"/>
              </w:rPr>
            </w:pPr>
            <w:r w:rsidRPr="00166433">
              <w:rPr>
                <w:rFonts w:eastAsia="仿宋_GB2312"/>
                <w:b/>
                <w:color w:val="000000"/>
                <w:kern w:val="0"/>
                <w:sz w:val="28"/>
                <w:szCs w:val="28"/>
              </w:rPr>
              <w:t>省财政资助经费（万元）</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药物毒性机制及干预策略研究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翁勤洁</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针对肝癌去泛素酶异常调控的新型先导分子发现和机制研究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董晓武</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基因编辑递送系统的研究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平渊</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基于人工智能的可药靶性识别和新靶标发现</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朱峰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生物材料负载的</w:t>
            </w:r>
            <w:r w:rsidRPr="00166433">
              <w:rPr>
                <w:rFonts w:eastAsia="仿宋_GB2312"/>
                <w:color w:val="000000"/>
                <w:kern w:val="0"/>
                <w:sz w:val="28"/>
                <w:szCs w:val="28"/>
              </w:rPr>
              <w:t>Gli1+</w:t>
            </w:r>
            <w:r w:rsidRPr="00166433">
              <w:rPr>
                <w:rFonts w:eastAsia="仿宋_GB2312"/>
                <w:color w:val="000000"/>
                <w:kern w:val="0"/>
                <w:sz w:val="28"/>
                <w:szCs w:val="28"/>
              </w:rPr>
              <w:t>细胞在颅缝再生中的作用及机制研究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俞梦飞</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胆固醇合成代谢调控晶状体稳态的机制研究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陈祥军</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7</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RNA</w:t>
            </w:r>
            <w:r w:rsidRPr="00166433">
              <w:rPr>
                <w:rFonts w:eastAsia="仿宋_GB2312"/>
                <w:color w:val="000000"/>
                <w:kern w:val="0"/>
                <w:sz w:val="28"/>
                <w:szCs w:val="28"/>
              </w:rPr>
              <w:t>结合蛋白</w:t>
            </w:r>
            <w:r w:rsidRPr="00166433">
              <w:rPr>
                <w:rFonts w:eastAsia="仿宋_GB2312"/>
                <w:color w:val="000000"/>
                <w:kern w:val="0"/>
                <w:sz w:val="28"/>
                <w:szCs w:val="28"/>
              </w:rPr>
              <w:t>Ptbp1</w:t>
            </w:r>
            <w:r w:rsidRPr="00166433">
              <w:rPr>
                <w:rFonts w:eastAsia="仿宋_GB2312"/>
                <w:color w:val="000000"/>
                <w:kern w:val="0"/>
                <w:sz w:val="28"/>
                <w:szCs w:val="28"/>
              </w:rPr>
              <w:t>促进心肌梗死后心力衰竭的机制研究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马宏</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8</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认知与能力视角下数字化转型过程研究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刘洋</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9</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基于极性界面的高效率宽禁带钙钛矿发光器件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赵保丹</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10</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低维导波结构及其光子集成芯片应用研究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郭欣</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动态二极管发电器件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林时胜</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复杂异构缺失数据预测理论与方法研究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苗晓晔</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知识引导的可泛化多模态语义分析与推理</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汤斯亮</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三维异质集成电路的电磁及多物理兼容设计研究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陈文超</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深海热液自供电原位观测方法与关键技术</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吴世军</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16</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热水力耦合作用下路基劣化机理</w:t>
            </w:r>
            <w:r w:rsidRPr="00166433">
              <w:rPr>
                <w:rFonts w:eastAsia="仿宋_GB2312"/>
                <w:color w:val="000000"/>
                <w:kern w:val="0"/>
                <w:sz w:val="28"/>
                <w:szCs w:val="28"/>
              </w:rPr>
              <w:lastRenderedPageBreak/>
              <w:t>与防治对策研究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lastRenderedPageBreak/>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曹志刚</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lastRenderedPageBreak/>
              <w:t>17</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海浪冲蚀作用下混凝土结构耐久性能劣化机理研究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夏晋</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18</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基于界面电荷调控的高效高频垂直型</w:t>
            </w:r>
            <w:proofErr w:type="spellStart"/>
            <w:r w:rsidRPr="00166433">
              <w:rPr>
                <w:rFonts w:eastAsia="仿宋_GB2312"/>
                <w:color w:val="000000"/>
                <w:kern w:val="0"/>
                <w:sz w:val="28"/>
                <w:szCs w:val="28"/>
              </w:rPr>
              <w:t>GaN</w:t>
            </w:r>
            <w:proofErr w:type="spellEnd"/>
            <w:r w:rsidRPr="00166433">
              <w:rPr>
                <w:rFonts w:eastAsia="仿宋_GB2312"/>
                <w:color w:val="000000"/>
                <w:kern w:val="0"/>
                <w:sz w:val="28"/>
                <w:szCs w:val="28"/>
              </w:rPr>
              <w:t>功率器件研究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杨树</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434"/>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19</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基于非贵金属等离激元纳米晶掺杂微晶玻璃的红外光学非线性及光子器件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刘小峰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20</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基于界面铁电场效应构筑高效光催化材料</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任召辉</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致密三维异质结构电极材料设计制备及其储能机理研究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吴浩斌</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SASP</w:t>
            </w:r>
            <w:r w:rsidRPr="00166433">
              <w:rPr>
                <w:rFonts w:eastAsia="仿宋_GB2312"/>
                <w:color w:val="000000"/>
                <w:kern w:val="0"/>
                <w:sz w:val="28"/>
                <w:szCs w:val="28"/>
              </w:rPr>
              <w:t>蛋白介导等离子体活化水对</w:t>
            </w:r>
            <w:r w:rsidRPr="00166433">
              <w:rPr>
                <w:rFonts w:eastAsia="仿宋_GB2312"/>
                <w:color w:val="000000"/>
                <w:kern w:val="0"/>
                <w:sz w:val="28"/>
                <w:szCs w:val="28"/>
              </w:rPr>
              <w:t>B. cereus</w:t>
            </w:r>
            <w:r w:rsidRPr="00166433">
              <w:rPr>
                <w:rFonts w:eastAsia="仿宋_GB2312"/>
                <w:color w:val="000000"/>
                <w:kern w:val="0"/>
                <w:sz w:val="28"/>
                <w:szCs w:val="28"/>
              </w:rPr>
              <w:t>芽孢的灭活机制研究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丁甜</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255"/>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OsFTIP11-OsFIF2-OsFIP1</w:t>
            </w:r>
            <w:r w:rsidRPr="00166433">
              <w:rPr>
                <w:rFonts w:eastAsia="仿宋_GB2312"/>
                <w:color w:val="000000"/>
                <w:kern w:val="0"/>
                <w:sz w:val="28"/>
                <w:szCs w:val="28"/>
              </w:rPr>
              <w:t>分子模块调控水稻高温胁迫响应的分子机制研究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宋士勇</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四跨膜蛋白</w:t>
            </w:r>
            <w:r w:rsidRPr="00166433">
              <w:rPr>
                <w:rFonts w:eastAsia="仿宋_GB2312"/>
                <w:color w:val="000000"/>
                <w:kern w:val="0"/>
                <w:sz w:val="28"/>
                <w:szCs w:val="28"/>
              </w:rPr>
              <w:t>TSP-15</w:t>
            </w:r>
            <w:r w:rsidRPr="00166433">
              <w:rPr>
                <w:rFonts w:eastAsia="仿宋_GB2312"/>
                <w:color w:val="000000"/>
                <w:kern w:val="0"/>
                <w:sz w:val="28"/>
                <w:szCs w:val="28"/>
              </w:rPr>
              <w:t>在细胞膜修复中的分子动态调控机制研究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徐素宏</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蛋白酶体在哺乳动物生殖中的动态变化、功能和调控研究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余超</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26</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自闭症中前额叶皮层小胶质细胞对突触的异常清除和机制研究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王朗</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17"/>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27</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能量感受器</w:t>
            </w:r>
            <w:r w:rsidRPr="00166433">
              <w:rPr>
                <w:rFonts w:eastAsia="仿宋_GB2312"/>
                <w:color w:val="000000"/>
                <w:kern w:val="0"/>
                <w:sz w:val="28"/>
                <w:szCs w:val="28"/>
              </w:rPr>
              <w:t>Snf1/AMPK</w:t>
            </w:r>
            <w:r w:rsidRPr="00166433">
              <w:rPr>
                <w:rFonts w:eastAsia="仿宋_GB2312"/>
                <w:color w:val="000000"/>
                <w:kern w:val="0"/>
                <w:sz w:val="28"/>
                <w:szCs w:val="28"/>
              </w:rPr>
              <w:t>的核质动态分布调控能量匮乏诱导自噬发生的分子机制和生理功能研究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易聪</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28</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proofErr w:type="spellStart"/>
            <w:r w:rsidRPr="00166433">
              <w:rPr>
                <w:rFonts w:eastAsia="仿宋_GB2312"/>
                <w:color w:val="000000"/>
                <w:kern w:val="0"/>
                <w:sz w:val="28"/>
                <w:szCs w:val="28"/>
              </w:rPr>
              <w:t>CyclinT</w:t>
            </w:r>
            <w:proofErr w:type="spellEnd"/>
            <w:r w:rsidRPr="00166433">
              <w:rPr>
                <w:rFonts w:eastAsia="仿宋_GB2312"/>
                <w:color w:val="000000"/>
                <w:kern w:val="0"/>
                <w:sz w:val="28"/>
                <w:szCs w:val="28"/>
              </w:rPr>
              <w:t>家族蛋白的相变调控机制及功能研究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陆华松</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29</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森林生态系统养分吸收策略多样性</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陈伟乐</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30</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FT</w:t>
            </w:r>
            <w:r w:rsidRPr="00166433">
              <w:rPr>
                <w:rFonts w:eastAsia="仿宋_GB2312"/>
                <w:color w:val="000000"/>
                <w:kern w:val="0"/>
                <w:sz w:val="28"/>
                <w:szCs w:val="28"/>
              </w:rPr>
              <w:t>调控小麦开花的分子机制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秦正睿</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建立玉米气孔计算生物学模型系统分析</w:t>
            </w:r>
            <w:r w:rsidRPr="00166433">
              <w:rPr>
                <w:rFonts w:eastAsia="仿宋_GB2312"/>
                <w:color w:val="000000"/>
                <w:kern w:val="0"/>
                <w:sz w:val="28"/>
                <w:szCs w:val="28"/>
              </w:rPr>
              <w:t>C3</w:t>
            </w:r>
            <w:r w:rsidRPr="00166433">
              <w:rPr>
                <w:rFonts w:eastAsia="仿宋_GB2312"/>
                <w:color w:val="000000"/>
                <w:kern w:val="0"/>
                <w:sz w:val="28"/>
                <w:szCs w:val="28"/>
              </w:rPr>
              <w:t>和</w:t>
            </w:r>
            <w:r w:rsidRPr="00166433">
              <w:rPr>
                <w:rFonts w:eastAsia="仿宋_GB2312"/>
                <w:color w:val="000000"/>
                <w:kern w:val="0"/>
                <w:sz w:val="28"/>
                <w:szCs w:val="28"/>
              </w:rPr>
              <w:t>C4</w:t>
            </w:r>
            <w:r w:rsidRPr="00166433">
              <w:rPr>
                <w:rFonts w:eastAsia="仿宋_GB2312"/>
                <w:color w:val="000000"/>
                <w:kern w:val="0"/>
                <w:sz w:val="28"/>
                <w:szCs w:val="28"/>
              </w:rPr>
              <w:t>作物水分利用效率的差异</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王一州</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w:t>
            </w:r>
            <w:proofErr w:type="spellStart"/>
            <w:r w:rsidRPr="00166433">
              <w:rPr>
                <w:rFonts w:eastAsia="仿宋_GB2312"/>
                <w:color w:val="000000"/>
                <w:kern w:val="0"/>
                <w:sz w:val="28"/>
                <w:szCs w:val="28"/>
              </w:rPr>
              <w:t>Mfd</w:t>
            </w:r>
            <w:proofErr w:type="spellEnd"/>
            <w:r w:rsidRPr="00166433">
              <w:rPr>
                <w:rFonts w:eastAsia="仿宋_GB2312"/>
                <w:color w:val="000000"/>
                <w:kern w:val="0"/>
                <w:sz w:val="28"/>
                <w:szCs w:val="28"/>
              </w:rPr>
              <w:t>的结构设计应对结核分枝杆菌耐药的化合物</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冯钰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289"/>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高稳定性、低能耗太阳能</w:t>
            </w:r>
            <w:r w:rsidRPr="00166433">
              <w:rPr>
                <w:rFonts w:eastAsia="仿宋_GB2312"/>
                <w:color w:val="000000"/>
                <w:kern w:val="0"/>
                <w:sz w:val="28"/>
                <w:szCs w:val="28"/>
              </w:rPr>
              <w:t>-</w:t>
            </w:r>
            <w:r w:rsidRPr="00166433">
              <w:rPr>
                <w:rFonts w:eastAsia="仿宋_GB2312"/>
                <w:color w:val="000000"/>
                <w:kern w:val="0"/>
                <w:sz w:val="28"/>
                <w:szCs w:val="28"/>
              </w:rPr>
              <w:t>环境潜热能协同驱动界面海水淡化</w:t>
            </w:r>
            <w:r w:rsidRPr="00166433">
              <w:rPr>
                <w:rFonts w:eastAsia="仿宋_GB2312"/>
                <w:color w:val="000000"/>
                <w:kern w:val="0"/>
                <w:sz w:val="28"/>
                <w:szCs w:val="28"/>
              </w:rPr>
              <w:t>-</w:t>
            </w:r>
            <w:r w:rsidRPr="00166433">
              <w:rPr>
                <w:rFonts w:eastAsia="仿宋_GB2312"/>
                <w:color w:val="000000"/>
                <w:kern w:val="0"/>
                <w:sz w:val="28"/>
                <w:szCs w:val="28"/>
              </w:rPr>
              <w:t>污水净化体系的设计制备及应用研究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王娟</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聚合物纳米薄膜的区域选择性化</w:t>
            </w:r>
            <w:r w:rsidRPr="00166433">
              <w:rPr>
                <w:rFonts w:eastAsia="仿宋_GB2312"/>
                <w:color w:val="000000"/>
                <w:kern w:val="0"/>
                <w:sz w:val="28"/>
                <w:szCs w:val="28"/>
              </w:rPr>
              <w:lastRenderedPageBreak/>
              <w:t>学气相沉积</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lastRenderedPageBreak/>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赵俊杰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lastRenderedPageBreak/>
              <w:t>35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层状双孔道离子杂化超微孔材料的构筑与吸附分离性能</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杨启炜</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36</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核燃料循环过程中关键长寿命放射性锕系元素的选择分离</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肖成梁</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37</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3-5nm</w:t>
            </w:r>
            <w:r w:rsidRPr="00166433">
              <w:rPr>
                <w:rFonts w:eastAsia="仿宋_GB2312"/>
                <w:color w:val="000000"/>
                <w:kern w:val="0"/>
                <w:sz w:val="28"/>
                <w:szCs w:val="28"/>
              </w:rPr>
              <w:t>节点集成电路基本图形的大面积无缺陷组装和蚀刻</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伍广朋</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38</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基于氧化脱氢过程的低碳烯烃制备催化剂研究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姚思宇</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39</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基于超冷原子的拓扑量子模拟</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颜波</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40</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新型低维磁电耦合量子效应研究及材料设计制备</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陆</w:t>
            </w:r>
            <w:r w:rsidRPr="00166433">
              <w:rPr>
                <w:rFonts w:eastAsia="微软雅黑"/>
                <w:color w:val="000000"/>
                <w:kern w:val="0"/>
                <w:sz w:val="28"/>
                <w:szCs w:val="28"/>
              </w:rPr>
              <w:t>赟</w:t>
            </w:r>
            <w:r w:rsidRPr="00166433">
              <w:rPr>
                <w:rFonts w:eastAsia="仿宋_GB2312"/>
                <w:color w:val="000000"/>
                <w:kern w:val="0"/>
                <w:sz w:val="28"/>
                <w:szCs w:val="28"/>
              </w:rPr>
              <w:t>豪</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二维半导体结构多场耦合行为及其应变调控研究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张春利</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周期结构中的波散射问题</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鲁汪涛</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研究多基因协同作用的</w:t>
            </w:r>
            <w:r w:rsidRPr="00166433">
              <w:rPr>
                <w:rFonts w:eastAsia="仿宋_GB2312"/>
                <w:color w:val="000000"/>
                <w:kern w:val="0"/>
                <w:sz w:val="28"/>
                <w:szCs w:val="28"/>
              </w:rPr>
              <w:t>CRISPR</w:t>
            </w:r>
            <w:r w:rsidRPr="00166433">
              <w:rPr>
                <w:rFonts w:eastAsia="仿宋_GB2312"/>
                <w:color w:val="000000"/>
                <w:kern w:val="0"/>
                <w:sz w:val="28"/>
                <w:szCs w:val="28"/>
              </w:rPr>
              <w:t>遗传筛选系统的开发和应用</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西湖大学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马丽佳</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斑翅果蝇环境适应性和抗药性的研究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西湖大学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甄莹</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基于异构城市时空数据的人群出行行为分析与建模</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浙江工业大学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孔祥杰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46</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多媒体内容理解与检索</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浙江工业大学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白琮</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47</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滨海钢筋混凝土结构非均匀腐蚀劣化评价与监测技术研究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浙江工业大学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付传清</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48</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限域空间单原子激活</w:t>
            </w:r>
            <w:r w:rsidRPr="00166433">
              <w:rPr>
                <w:rFonts w:eastAsia="仿宋_GB2312"/>
                <w:color w:val="000000"/>
                <w:kern w:val="0"/>
                <w:sz w:val="28"/>
                <w:szCs w:val="28"/>
              </w:rPr>
              <w:t>PMS</w:t>
            </w:r>
            <w:r w:rsidRPr="00166433">
              <w:rPr>
                <w:rFonts w:eastAsia="仿宋_GB2312"/>
                <w:color w:val="000000"/>
                <w:kern w:val="0"/>
                <w:sz w:val="28"/>
                <w:szCs w:val="28"/>
              </w:rPr>
              <w:t>氧化有机污染物效能与机理</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浙江工业大学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曾滔</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49</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环境暴露与健康风险</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浙江工业大学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张全</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50</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利用引力波检验引力的对称性</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浙江工业大学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朱涛</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多群智任务在线分配与公平优化</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浙江师范大学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鲁剑锋</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储层水环境页岩气赋存及流动机制研究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浙江师范大学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寇建龙</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认知无线电中的广域频谱态势建模与频谱感知关键技术研究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宁波大学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金明</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梯度折射率红外透明硫系玻璃陶瓷研究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宁波大学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林常规</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基于多组学研究解析培菌白蚁高</w:t>
            </w:r>
            <w:r w:rsidRPr="00166433">
              <w:rPr>
                <w:rFonts w:eastAsia="仿宋_GB2312"/>
                <w:color w:val="000000"/>
                <w:kern w:val="0"/>
                <w:sz w:val="28"/>
                <w:szCs w:val="28"/>
              </w:rPr>
              <w:lastRenderedPageBreak/>
              <w:t>效预处理木质纤维素的机理</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lastRenderedPageBreak/>
              <w:t>宁波大学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李鸿杰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lastRenderedPageBreak/>
              <w:t>56</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面向高端装备故障预测与维护的证据融合与决策方法</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杭州电子科技大学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徐晓滨</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57</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电磁场的媒质调控</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杭州电子科技大学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彭亮</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58</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气候变化背景下中国近海日本</w:t>
            </w:r>
            <w:r w:rsidRPr="00166433">
              <w:rPr>
                <w:rFonts w:eastAsia="微软雅黑"/>
                <w:color w:val="000000"/>
                <w:kern w:val="0"/>
                <w:sz w:val="28"/>
                <w:szCs w:val="28"/>
              </w:rPr>
              <w:t>蟳</w:t>
            </w:r>
            <w:r w:rsidRPr="00166433">
              <w:rPr>
                <w:rFonts w:eastAsia="仿宋_GB2312"/>
                <w:color w:val="000000"/>
                <w:kern w:val="0"/>
                <w:sz w:val="28"/>
                <w:szCs w:val="28"/>
              </w:rPr>
              <w:t>群体表观遗传组学研究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浙江海洋大学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韩志强</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300"/>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59</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中华管鞭虾肌球蛋白与磷酸化卡拉胶寡糖之间的互作模式及其发生机制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浙江海洋大学</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张宾</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602"/>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60</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台风顶部与底部运动特征的卫星遥感研究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自然资源部第二海洋研究所</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郑罡</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602"/>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61</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聚苯乙烯微塑料对象山湾黑鲷肠道微生物的影响及机制研究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自然资源部第二海洋研究所</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黄伟</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602"/>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62</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量子点红外</w:t>
            </w:r>
            <w:r w:rsidRPr="00166433">
              <w:rPr>
                <w:rFonts w:eastAsia="仿宋_GB2312"/>
                <w:color w:val="000000"/>
                <w:kern w:val="0"/>
                <w:sz w:val="28"/>
                <w:szCs w:val="28"/>
              </w:rPr>
              <w:t>-</w:t>
            </w:r>
            <w:r w:rsidRPr="00166433">
              <w:rPr>
                <w:rFonts w:eastAsia="仿宋_GB2312"/>
                <w:color w:val="000000"/>
                <w:kern w:val="0"/>
                <w:sz w:val="28"/>
                <w:szCs w:val="28"/>
              </w:rPr>
              <w:t>可见光上转换探测器</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中国科学院宁波材料技术与工程研究所</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向超宇</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602"/>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63</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超薄二维材料改性聚合物复合涂层的深海摩擦与腐蚀行为研究</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中国科学院宁波材料技术与工程研究所</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赵文杰</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602"/>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64</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共轭二维聚合物的界面构筑及应用</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中国科学院宁波材料技术与工程研究所</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张涛</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r w:rsidR="00434E63" w:rsidRPr="00166433" w:rsidTr="00501A65">
        <w:trPr>
          <w:trHeight w:val="602"/>
        </w:trPr>
        <w:tc>
          <w:tcPr>
            <w:tcW w:w="411"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rPr>
                <w:rFonts w:eastAsia="仿宋_GB2312"/>
                <w:color w:val="000000"/>
                <w:kern w:val="0"/>
                <w:sz w:val="28"/>
                <w:szCs w:val="28"/>
              </w:rPr>
            </w:pPr>
            <w:r w:rsidRPr="00166433">
              <w:rPr>
                <w:rFonts w:eastAsia="仿宋_GB2312"/>
                <w:color w:val="000000"/>
                <w:kern w:val="0"/>
                <w:sz w:val="28"/>
                <w:szCs w:val="28"/>
              </w:rPr>
              <w:t>65</w:t>
            </w:r>
          </w:p>
        </w:tc>
        <w:tc>
          <w:tcPr>
            <w:tcW w:w="2274"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rPr>
                <w:rFonts w:eastAsia="仿宋_GB2312"/>
                <w:color w:val="000000"/>
                <w:kern w:val="0"/>
                <w:sz w:val="28"/>
                <w:szCs w:val="28"/>
              </w:rPr>
            </w:pPr>
            <w:r w:rsidRPr="00166433">
              <w:rPr>
                <w:rFonts w:eastAsia="仿宋_GB2312"/>
                <w:color w:val="000000"/>
                <w:kern w:val="0"/>
                <w:sz w:val="28"/>
                <w:szCs w:val="28"/>
              </w:rPr>
              <w:t>高性能热电能源转换材料</w:t>
            </w:r>
          </w:p>
        </w:tc>
        <w:tc>
          <w:tcPr>
            <w:tcW w:w="766"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中国科学院宁波材料技术与工程研究所</w:t>
            </w:r>
          </w:p>
        </w:tc>
        <w:tc>
          <w:tcPr>
            <w:tcW w:w="680"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autoSpaceDE w:val="0"/>
              <w:autoSpaceDN w:val="0"/>
              <w:adjustRightInd w:val="0"/>
              <w:spacing w:line="340" w:lineRule="exact"/>
              <w:jc w:val="center"/>
              <w:rPr>
                <w:rFonts w:eastAsia="仿宋_GB2312"/>
                <w:color w:val="000000"/>
                <w:kern w:val="0"/>
                <w:sz w:val="28"/>
                <w:szCs w:val="28"/>
              </w:rPr>
            </w:pPr>
            <w:r w:rsidRPr="00166433">
              <w:rPr>
                <w:rFonts w:eastAsia="仿宋_GB2312"/>
                <w:color w:val="000000"/>
                <w:kern w:val="0"/>
                <w:sz w:val="28"/>
                <w:szCs w:val="28"/>
              </w:rPr>
              <w:t>谈小建</w:t>
            </w:r>
          </w:p>
        </w:tc>
        <w:tc>
          <w:tcPr>
            <w:tcW w:w="867" w:type="pct"/>
            <w:tcBorders>
              <w:top w:val="single" w:sz="6" w:space="0" w:color="auto"/>
              <w:left w:val="single" w:sz="6" w:space="0" w:color="auto"/>
              <w:bottom w:val="single" w:sz="6" w:space="0" w:color="auto"/>
              <w:right w:val="single" w:sz="6" w:space="0" w:color="auto"/>
            </w:tcBorders>
            <w:vAlign w:val="center"/>
          </w:tcPr>
          <w:p w:rsidR="00434E63" w:rsidRPr="00166433" w:rsidRDefault="00434E63" w:rsidP="00501A65">
            <w:pPr>
              <w:spacing w:line="340" w:lineRule="exact"/>
              <w:jc w:val="center"/>
            </w:pPr>
            <w:r w:rsidRPr="00166433">
              <w:rPr>
                <w:rFonts w:eastAsia="仿宋_GB2312"/>
                <w:color w:val="000000"/>
                <w:kern w:val="0"/>
                <w:sz w:val="28"/>
                <w:szCs w:val="28"/>
              </w:rPr>
              <w:t>80</w:t>
            </w:r>
          </w:p>
        </w:tc>
      </w:tr>
    </w:tbl>
    <w:p w:rsidR="003E5293" w:rsidRDefault="003E5293">
      <w:bookmarkStart w:id="0" w:name="_GoBack"/>
      <w:bookmarkEnd w:id="0"/>
    </w:p>
    <w:sectPr w:rsidR="003E52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63"/>
    <w:rsid w:val="003E5293"/>
    <w:rsid w:val="0043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2020-12-31T08:59:00Z</dcterms:created>
  <dcterms:modified xsi:type="dcterms:W3CDTF">2020-12-31T09:00:00Z</dcterms:modified>
</cp:coreProperties>
</file>