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方正小标宋简体" w:eastAsia="方正小标宋简体"/>
          <w:sz w:val="44"/>
          <w:szCs w:val="44"/>
        </w:rPr>
        <w:t>集中修订的行政规范性文件情况</w:t>
      </w:r>
    </w:p>
    <w:tbl>
      <w:tblPr>
        <w:tblStyle w:val="2"/>
        <w:tblW w:w="8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890"/>
        <w:gridCol w:w="1320"/>
        <w:gridCol w:w="2025"/>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096" w:type="dxa"/>
            <w:vMerge w:val="restart"/>
            <w:tcBorders>
              <w:top w:val="single" w:color="auto" w:sz="4" w:space="0"/>
              <w:left w:val="single" w:color="auto" w:sz="4" w:space="0"/>
              <w:right w:val="single" w:color="auto" w:sz="4" w:space="0"/>
            </w:tcBorders>
            <w:noWrap w:val="0"/>
            <w:vAlign w:val="center"/>
          </w:tcPr>
          <w:p>
            <w:pPr>
              <w:pStyle w:val="4"/>
              <w:spacing w:line="260" w:lineRule="exact"/>
              <w:jc w:val="center"/>
              <w:rPr>
                <w:rFonts w:hint="eastAsia" w:ascii="黑体" w:hAnsi="黑体" w:eastAsia="黑体" w:cs="黑体"/>
              </w:rPr>
            </w:pPr>
            <w:r>
              <w:rPr>
                <w:rFonts w:hint="eastAsia" w:ascii="黑体" w:hAnsi="黑体" w:eastAsia="黑体" w:cs="黑体"/>
              </w:rPr>
              <w:t>序号</w:t>
            </w:r>
          </w:p>
        </w:tc>
        <w:tc>
          <w:tcPr>
            <w:tcW w:w="1890" w:type="dxa"/>
            <w:vMerge w:val="restart"/>
            <w:tcBorders>
              <w:top w:val="single" w:color="auto" w:sz="4" w:space="0"/>
              <w:left w:val="single" w:color="auto" w:sz="4" w:space="0"/>
              <w:right w:val="single" w:color="auto" w:sz="4" w:space="0"/>
            </w:tcBorders>
            <w:noWrap w:val="0"/>
            <w:vAlign w:val="center"/>
          </w:tcPr>
          <w:p>
            <w:pPr>
              <w:pStyle w:val="4"/>
              <w:spacing w:line="260" w:lineRule="exact"/>
              <w:jc w:val="center"/>
              <w:rPr>
                <w:rFonts w:hint="eastAsia" w:ascii="黑体" w:hAnsi="黑体" w:eastAsia="黑体" w:cs="黑体"/>
              </w:rPr>
            </w:pPr>
            <w:r>
              <w:rPr>
                <w:rFonts w:hint="eastAsia" w:ascii="黑体" w:hAnsi="黑体" w:eastAsia="黑体" w:cs="黑体"/>
              </w:rPr>
              <w:t>文件名称</w:t>
            </w:r>
          </w:p>
        </w:tc>
        <w:tc>
          <w:tcPr>
            <w:tcW w:w="1320" w:type="dxa"/>
            <w:vMerge w:val="restart"/>
            <w:tcBorders>
              <w:top w:val="single" w:color="auto" w:sz="4" w:space="0"/>
              <w:left w:val="single" w:color="auto" w:sz="4" w:space="0"/>
              <w:right w:val="single" w:color="auto" w:sz="4" w:space="0"/>
            </w:tcBorders>
            <w:noWrap w:val="0"/>
            <w:vAlign w:val="center"/>
          </w:tcPr>
          <w:p>
            <w:pPr>
              <w:pStyle w:val="4"/>
              <w:spacing w:line="260" w:lineRule="exact"/>
              <w:jc w:val="center"/>
              <w:rPr>
                <w:rFonts w:hint="eastAsia" w:ascii="黑体" w:hAnsi="黑体" w:eastAsia="黑体" w:cs="黑体"/>
              </w:rPr>
            </w:pPr>
            <w:r>
              <w:rPr>
                <w:rFonts w:hint="eastAsia" w:ascii="黑体" w:hAnsi="黑体" w:eastAsia="黑体" w:cs="黑体"/>
              </w:rPr>
              <w:t>文号</w:t>
            </w:r>
          </w:p>
        </w:tc>
        <w:tc>
          <w:tcPr>
            <w:tcW w:w="39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60" w:lineRule="exact"/>
              <w:jc w:val="center"/>
              <w:rPr>
                <w:rFonts w:hint="eastAsia" w:ascii="黑体" w:hAnsi="黑体" w:eastAsia="黑体" w:cs="黑体"/>
              </w:rPr>
            </w:pPr>
            <w:r>
              <w:rPr>
                <w:rFonts w:hint="eastAsia" w:ascii="黑体" w:hAnsi="黑体" w:eastAsia="黑体" w:cs="黑体"/>
              </w:rPr>
              <w:t>修订情况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096" w:type="dxa"/>
            <w:vMerge w:val="continue"/>
            <w:tcBorders>
              <w:left w:val="single" w:color="auto" w:sz="4" w:space="0"/>
              <w:bottom w:val="single" w:color="auto" w:sz="4" w:space="0"/>
              <w:right w:val="single" w:color="auto" w:sz="4" w:space="0"/>
            </w:tcBorders>
            <w:noWrap w:val="0"/>
            <w:vAlign w:val="center"/>
          </w:tcPr>
          <w:p>
            <w:pPr>
              <w:pStyle w:val="4"/>
              <w:spacing w:line="260" w:lineRule="exact"/>
              <w:jc w:val="center"/>
              <w:rPr>
                <w:rFonts w:hint="eastAsia" w:ascii="黑体" w:hAnsi="黑体" w:eastAsia="黑体" w:cs="黑体"/>
              </w:rPr>
            </w:pPr>
          </w:p>
        </w:tc>
        <w:tc>
          <w:tcPr>
            <w:tcW w:w="1890" w:type="dxa"/>
            <w:vMerge w:val="continue"/>
            <w:tcBorders>
              <w:left w:val="single" w:color="auto" w:sz="4" w:space="0"/>
              <w:bottom w:val="single" w:color="auto" w:sz="4" w:space="0"/>
              <w:right w:val="single" w:color="auto" w:sz="4" w:space="0"/>
            </w:tcBorders>
            <w:noWrap w:val="0"/>
            <w:vAlign w:val="center"/>
          </w:tcPr>
          <w:p>
            <w:pPr>
              <w:pStyle w:val="4"/>
              <w:spacing w:line="260" w:lineRule="exact"/>
              <w:jc w:val="center"/>
              <w:rPr>
                <w:rFonts w:hint="eastAsia" w:ascii="黑体" w:hAnsi="黑体" w:eastAsia="黑体" w:cs="黑体"/>
              </w:rPr>
            </w:pPr>
          </w:p>
        </w:tc>
        <w:tc>
          <w:tcPr>
            <w:tcW w:w="1320" w:type="dxa"/>
            <w:vMerge w:val="continue"/>
            <w:tcBorders>
              <w:left w:val="single" w:color="auto" w:sz="4" w:space="0"/>
              <w:bottom w:val="single" w:color="auto" w:sz="4" w:space="0"/>
              <w:right w:val="single" w:color="auto" w:sz="4" w:space="0"/>
            </w:tcBorders>
            <w:noWrap w:val="0"/>
            <w:vAlign w:val="center"/>
          </w:tcPr>
          <w:p>
            <w:pPr>
              <w:pStyle w:val="4"/>
              <w:spacing w:line="260" w:lineRule="exact"/>
              <w:jc w:val="center"/>
              <w:rPr>
                <w:rFonts w:hint="eastAsia" w:ascii="黑体" w:hAnsi="黑体" w:eastAsia="黑体" w:cs="黑体"/>
              </w:rPr>
            </w:pPr>
          </w:p>
        </w:tc>
        <w:tc>
          <w:tcPr>
            <w:tcW w:w="2025" w:type="dxa"/>
            <w:tcBorders>
              <w:top w:val="single" w:color="auto" w:sz="4" w:space="0"/>
              <w:left w:val="single" w:color="auto" w:sz="4" w:space="0"/>
              <w:bottom w:val="single" w:color="auto" w:sz="4" w:space="0"/>
              <w:right w:val="single" w:color="auto" w:sz="4" w:space="0"/>
            </w:tcBorders>
            <w:noWrap w:val="0"/>
            <w:vAlign w:val="center"/>
          </w:tcPr>
          <w:p>
            <w:pPr>
              <w:pStyle w:val="4"/>
              <w:spacing w:line="260" w:lineRule="exact"/>
              <w:jc w:val="center"/>
              <w:rPr>
                <w:rFonts w:hint="eastAsia" w:ascii="黑体" w:hAnsi="黑体" w:eastAsia="黑体" w:cs="黑体"/>
              </w:rPr>
            </w:pPr>
            <w:r>
              <w:rPr>
                <w:rFonts w:hint="eastAsia" w:ascii="黑体" w:hAnsi="黑体" w:eastAsia="黑体" w:cs="黑体"/>
              </w:rPr>
              <w:t>原文件内容</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pStyle w:val="4"/>
              <w:spacing w:line="260" w:lineRule="exact"/>
              <w:jc w:val="center"/>
              <w:rPr>
                <w:rFonts w:hint="eastAsia" w:ascii="黑体" w:hAnsi="黑体" w:eastAsia="黑体" w:cs="黑体"/>
              </w:rPr>
            </w:pPr>
            <w:r>
              <w:rPr>
                <w:rFonts w:hint="eastAsia" w:ascii="黑体" w:hAnsi="黑体" w:eastAsia="黑体" w:cs="黑体"/>
              </w:rPr>
              <w:t>修订后内容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color w:val="000000"/>
                <w:szCs w:val="21"/>
              </w:rPr>
              <w:t>1</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color w:val="000000"/>
                <w:szCs w:val="21"/>
              </w:rPr>
              <w:t>关于印发《浙江省重点农业企业研究院建设管理办法（试行）》的通知</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color w:val="000000"/>
                <w:szCs w:val="21"/>
              </w:rPr>
              <w:t>浙科发农〔2017〕99号</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rFonts w:hint="eastAsia"/>
                <w:color w:val="000000"/>
                <w:szCs w:val="21"/>
              </w:rPr>
              <w:t>第十条 省级财政将给予省级重点农业企业研究院主办企业一定的创新引导和支持：</w:t>
            </w:r>
          </w:p>
          <w:p>
            <w:pPr>
              <w:rPr>
                <w:rFonts w:hint="eastAsia"/>
                <w:color w:val="000000"/>
                <w:szCs w:val="21"/>
              </w:rPr>
            </w:pPr>
            <w:r>
              <w:rPr>
                <w:rFonts w:hint="eastAsia"/>
                <w:color w:val="000000"/>
                <w:szCs w:val="21"/>
              </w:rPr>
              <w:t>（一）通过省级有关财政专项资金，给予省级重点农业企业研究院主办企业200万元建设经费补助，分阶段下拨。</w:t>
            </w:r>
          </w:p>
          <w:p>
            <w:pPr>
              <w:rPr>
                <w:rFonts w:ascii="宋体" w:hAnsi="宋体" w:cs="宋体"/>
                <w:sz w:val="24"/>
              </w:rPr>
            </w:pPr>
            <w:r>
              <w:rPr>
                <w:rFonts w:hint="eastAsia"/>
                <w:color w:val="000000"/>
                <w:szCs w:val="21"/>
              </w:rPr>
              <w:t>（二）允许省级重点农业企业研究院在建设期内设计并申报重点研发计划项目1项，省财政科技经费给予省级重点农业企业研究院150万元经费补助，分年度下拨。</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rFonts w:hint="eastAsia"/>
                <w:color w:val="000000"/>
                <w:szCs w:val="21"/>
              </w:rPr>
              <w:t>第十条 省级财政将给予省级重点农业企业研究院主办企业一定的创新引导和支持：</w:t>
            </w:r>
          </w:p>
          <w:p>
            <w:pPr>
              <w:rPr>
                <w:rFonts w:hint="eastAsia"/>
                <w:color w:val="000000"/>
                <w:szCs w:val="21"/>
              </w:rPr>
            </w:pPr>
            <w:r>
              <w:rPr>
                <w:rFonts w:hint="eastAsia"/>
                <w:color w:val="000000"/>
                <w:szCs w:val="21"/>
              </w:rPr>
              <w:t>（一）通过省级有关财政专项资金，对符合条件的给予省级重点农业企业研究院主办企业200万元一次性建设经费资助。</w:t>
            </w:r>
          </w:p>
          <w:p>
            <w:pPr>
              <w:rPr>
                <w:rFonts w:ascii="宋体" w:hAnsi="宋体" w:cs="宋体"/>
                <w:sz w:val="24"/>
              </w:rPr>
            </w:pPr>
            <w:r>
              <w:rPr>
                <w:rFonts w:hint="eastAsia"/>
                <w:color w:val="000000"/>
                <w:szCs w:val="21"/>
              </w:rPr>
              <w:t>（二）允许省级重点农业企业研究院在建设期内主动设计并申报省重点研发计划项目1项，通过竞争性分配的方式确定，每项经费补助不高于150万元。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color w:val="000000"/>
                <w:szCs w:val="21"/>
              </w:rPr>
              <w:t>2</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left"/>
              <w:rPr>
                <w:szCs w:val="21"/>
              </w:rPr>
            </w:pPr>
            <w:r>
              <w:rPr>
                <w:color w:val="000000"/>
                <w:szCs w:val="21"/>
              </w:rPr>
              <w:t>关于印发《浙江省科研诚信信息管理办法（试行）》的通知</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color w:val="000000"/>
                <w:szCs w:val="21"/>
              </w:rPr>
              <w:t>浙科发监〔2020〕28号</w:t>
            </w:r>
          </w:p>
        </w:tc>
        <w:tc>
          <w:tcPr>
            <w:tcW w:w="392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rFonts w:hint="eastAsia"/>
                <w:color w:val="000000"/>
                <w:szCs w:val="21"/>
              </w:rPr>
              <w:t>另行发文</w:t>
            </w:r>
          </w:p>
        </w:tc>
      </w:tr>
    </w:tbl>
    <w:p>
      <w:pPr>
        <w:rPr>
          <w:rFonts w:ascii="方正小标宋简体" w:eastAsia="方正小标宋简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7B2CB1-69AC-45EF-AB5D-8B960DF51D0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2F7CAC2-3B45-4CE3-BBC4-F2C4F47AC40B}"/>
  </w:font>
  <w:font w:name="方正小标宋简体">
    <w:panose1 w:val="02000000000000000000"/>
    <w:charset w:val="86"/>
    <w:family w:val="script"/>
    <w:pitch w:val="default"/>
    <w:sig w:usb0="00000001" w:usb1="08000000" w:usb2="00000000" w:usb3="00000000" w:csb0="00040000" w:csb1="00000000"/>
    <w:embedRegular r:id="rId3" w:fontKey="{57791470-3FEE-4537-916B-F4CE7B5D8D5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14F7D"/>
    <w:rsid w:val="73914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2021-12-14T08:35:00Z</dcterms:created>
  <dc:creator>rcs</dc:creator>
  <cp:lastModifiedBy>rcs</cp:lastModifiedBy>
  <dcterms:modified xsi:type="dcterms:W3CDTF">2021-12-14T08:36:04Z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1655BA4405954337925610D4E63FFDB0</vt:lpwstr>
  </property>
</Properties>
</file>