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7B" w:rsidRDefault="00464C7B" w:rsidP="00464C7B">
      <w:bookmarkStart w:id="0" w:name="_GoBack"/>
      <w:bookmarkEnd w:id="0"/>
      <w:r>
        <w:rPr>
          <w:rFonts w:hint="eastAsia"/>
        </w:rPr>
        <w:t>附件：</w:t>
      </w:r>
    </w:p>
    <w:tbl>
      <w:tblPr>
        <w:tblStyle w:val="a3"/>
        <w:tblW w:w="0" w:type="auto"/>
        <w:tblInd w:w="392" w:type="dxa"/>
        <w:tblLook w:val="04A0" w:firstRow="1" w:lastRow="0" w:firstColumn="1" w:lastColumn="0" w:noHBand="0" w:noVBand="1"/>
      </w:tblPr>
      <w:tblGrid>
        <w:gridCol w:w="673"/>
        <w:gridCol w:w="2126"/>
        <w:gridCol w:w="4361"/>
        <w:gridCol w:w="2416"/>
      </w:tblGrid>
      <w:tr w:rsidR="00464C7B" w:rsidTr="00F30C38">
        <w:tc>
          <w:tcPr>
            <w:tcW w:w="709" w:type="dxa"/>
          </w:tcPr>
          <w:p w:rsidR="00464C7B" w:rsidRDefault="00464C7B" w:rsidP="00F30C38">
            <w:pPr>
              <w:jc w:val="center"/>
            </w:pPr>
            <w:r>
              <w:rPr>
                <w:rFonts w:hint="eastAsia"/>
              </w:rPr>
              <w:t>序号</w:t>
            </w:r>
          </w:p>
        </w:tc>
        <w:tc>
          <w:tcPr>
            <w:tcW w:w="2268" w:type="dxa"/>
          </w:tcPr>
          <w:p w:rsidR="00464C7B" w:rsidRDefault="00464C7B" w:rsidP="00F30C38">
            <w:pPr>
              <w:jc w:val="center"/>
            </w:pPr>
            <w:r>
              <w:rPr>
                <w:rFonts w:hint="eastAsia"/>
              </w:rPr>
              <w:t>项目名称</w:t>
            </w:r>
          </w:p>
        </w:tc>
        <w:tc>
          <w:tcPr>
            <w:tcW w:w="4819" w:type="dxa"/>
          </w:tcPr>
          <w:p w:rsidR="00464C7B" w:rsidRDefault="00464C7B" w:rsidP="00F30C38">
            <w:pPr>
              <w:jc w:val="center"/>
            </w:pPr>
            <w:r>
              <w:rPr>
                <w:rFonts w:hint="eastAsia"/>
              </w:rPr>
              <w:t>项目介绍</w:t>
            </w:r>
          </w:p>
        </w:tc>
        <w:tc>
          <w:tcPr>
            <w:tcW w:w="2494" w:type="dxa"/>
            <w:vAlign w:val="center"/>
          </w:tcPr>
          <w:p w:rsidR="00464C7B" w:rsidRDefault="00464C7B" w:rsidP="00F30C38">
            <w:r>
              <w:rPr>
                <w:rFonts w:hint="eastAsia"/>
              </w:rPr>
              <w:t>机构</w:t>
            </w:r>
          </w:p>
        </w:tc>
      </w:tr>
      <w:tr w:rsidR="00464C7B" w:rsidTr="00F30C38">
        <w:tc>
          <w:tcPr>
            <w:tcW w:w="709" w:type="dxa"/>
            <w:vAlign w:val="center"/>
          </w:tcPr>
          <w:p w:rsidR="00464C7B" w:rsidRDefault="00464C7B" w:rsidP="00F30C38">
            <w:pPr>
              <w:jc w:val="center"/>
            </w:pPr>
            <w:r>
              <w:rPr>
                <w:rFonts w:hint="eastAsia"/>
              </w:rPr>
              <w:t>1</w:t>
            </w:r>
          </w:p>
        </w:tc>
        <w:tc>
          <w:tcPr>
            <w:tcW w:w="2268" w:type="dxa"/>
            <w:vAlign w:val="center"/>
          </w:tcPr>
          <w:p w:rsidR="00464C7B" w:rsidRPr="00414F7A" w:rsidRDefault="00464C7B" w:rsidP="00F30C38">
            <w:pPr>
              <w:rPr>
                <w:rFonts w:ascii="仿宋" w:eastAsia="仿宋" w:hAnsi="仿宋" w:cs="Times New Roman"/>
                <w:sz w:val="24"/>
                <w:szCs w:val="24"/>
              </w:rPr>
            </w:pPr>
            <w:r w:rsidRPr="00414F7A">
              <w:rPr>
                <w:rFonts w:ascii="仿宋" w:eastAsia="仿宋" w:hAnsi="仿宋" w:cs="Times New Roman"/>
                <w:bCs/>
                <w:sz w:val="24"/>
                <w:szCs w:val="24"/>
              </w:rPr>
              <w:t>家庭式激光诊疗技术</w:t>
            </w:r>
          </w:p>
        </w:tc>
        <w:tc>
          <w:tcPr>
            <w:tcW w:w="4819" w:type="dxa"/>
          </w:tcPr>
          <w:p w:rsidR="00464C7B" w:rsidRPr="00414F7A" w:rsidRDefault="00464C7B" w:rsidP="00F30C38">
            <w:pPr>
              <w:rPr>
                <w:rFonts w:ascii="仿宋" w:eastAsia="仿宋" w:hAnsi="仿宋" w:cs="Times New Roman"/>
                <w:sz w:val="20"/>
                <w:szCs w:val="20"/>
              </w:rPr>
            </w:pPr>
            <w:r w:rsidRPr="00414F7A">
              <w:rPr>
                <w:rFonts w:ascii="仿宋" w:eastAsia="仿宋" w:hAnsi="仿宋" w:cs="Times New Roman"/>
                <w:sz w:val="20"/>
                <w:szCs w:val="20"/>
              </w:rPr>
              <w:t>根据NCBI及NIH中相关研究，激光治疗具有促进伤口愈合、减轻疼痛、改善炎症及肿胀的功效，低</w:t>
            </w:r>
            <w:proofErr w:type="gramStart"/>
            <w:r w:rsidRPr="00414F7A">
              <w:rPr>
                <w:rFonts w:ascii="仿宋" w:eastAsia="仿宋" w:hAnsi="仿宋" w:cs="Times New Roman"/>
                <w:sz w:val="20"/>
                <w:szCs w:val="20"/>
              </w:rPr>
              <w:t>光级诊疗</w:t>
            </w:r>
            <w:proofErr w:type="gramEnd"/>
            <w:r w:rsidRPr="00414F7A">
              <w:rPr>
                <w:rFonts w:ascii="仿宋" w:eastAsia="仿宋" w:hAnsi="仿宋" w:cs="Times New Roman"/>
                <w:sz w:val="20"/>
                <w:szCs w:val="20"/>
              </w:rPr>
              <w:t>技术也广泛应用于医学、牙科、美容等方面，该项目利用其颠覆性的创新专利技术，带来低成本且便捷的</w:t>
            </w:r>
            <w:r w:rsidRPr="00E82F83">
              <w:rPr>
                <w:rFonts w:ascii="Times New Roman" w:eastAsia="仿宋" w:hAnsi="Times New Roman" w:cs="Times New Roman"/>
                <w:sz w:val="20"/>
                <w:szCs w:val="20"/>
              </w:rPr>
              <w:t>LED</w:t>
            </w:r>
            <w:r w:rsidRPr="00414F7A">
              <w:rPr>
                <w:rFonts w:ascii="仿宋" w:eastAsia="仿宋" w:hAnsi="仿宋" w:cs="Times New Roman"/>
                <w:sz w:val="20"/>
                <w:szCs w:val="20"/>
              </w:rPr>
              <w:t>及低</w:t>
            </w:r>
            <w:proofErr w:type="gramStart"/>
            <w:r w:rsidRPr="00414F7A">
              <w:rPr>
                <w:rFonts w:ascii="仿宋" w:eastAsia="仿宋" w:hAnsi="仿宋" w:cs="Times New Roman"/>
                <w:sz w:val="20"/>
                <w:szCs w:val="20"/>
              </w:rPr>
              <w:t>光级诊疗</w:t>
            </w:r>
            <w:proofErr w:type="gramEnd"/>
            <w:r w:rsidRPr="00E82F83">
              <w:rPr>
                <w:rFonts w:ascii="Times New Roman" w:eastAsia="仿宋" w:hAnsi="Times New Roman" w:cs="Times New Roman"/>
                <w:sz w:val="20"/>
                <w:szCs w:val="20"/>
              </w:rPr>
              <w:t>（</w:t>
            </w:r>
            <w:r w:rsidRPr="00E82F83">
              <w:rPr>
                <w:rFonts w:ascii="Times New Roman" w:eastAsia="仿宋" w:hAnsi="Times New Roman" w:cs="Times New Roman"/>
                <w:sz w:val="20"/>
                <w:szCs w:val="20"/>
              </w:rPr>
              <w:t>LLLT</w:t>
            </w:r>
            <w:r w:rsidRPr="00E82F83">
              <w:rPr>
                <w:rFonts w:ascii="Times New Roman" w:eastAsia="仿宋" w:hAnsi="Times New Roman" w:cs="Times New Roman"/>
                <w:sz w:val="20"/>
                <w:szCs w:val="20"/>
              </w:rPr>
              <w:t>）</w:t>
            </w:r>
            <w:r w:rsidRPr="00414F7A">
              <w:rPr>
                <w:rFonts w:ascii="仿宋" w:eastAsia="仿宋" w:hAnsi="仿宋" w:cs="Times New Roman"/>
                <w:sz w:val="20"/>
                <w:szCs w:val="20"/>
              </w:rPr>
              <w:t>相关产品，为消费者提供家庭式解决方案。</w:t>
            </w:r>
          </w:p>
        </w:tc>
        <w:tc>
          <w:tcPr>
            <w:tcW w:w="2494" w:type="dxa"/>
            <w:vAlign w:val="center"/>
          </w:tcPr>
          <w:p w:rsidR="00464C7B" w:rsidRPr="00E82F83" w:rsidRDefault="00464C7B" w:rsidP="00F30C38">
            <w:pPr>
              <w:rPr>
                <w:rFonts w:ascii="Times New Roman" w:eastAsia="仿宋" w:hAnsi="Times New Roman" w:cs="Times New Roman"/>
                <w:sz w:val="24"/>
                <w:szCs w:val="24"/>
              </w:rPr>
            </w:pPr>
            <w:proofErr w:type="spellStart"/>
            <w:r w:rsidRPr="00E82F83">
              <w:rPr>
                <w:rFonts w:ascii="Times New Roman" w:eastAsia="仿宋" w:hAnsi="Times New Roman" w:cs="Times New Roman"/>
                <w:bCs/>
                <w:sz w:val="24"/>
                <w:szCs w:val="24"/>
              </w:rPr>
              <w:t>CosmoAesthetics</w:t>
            </w:r>
            <w:proofErr w:type="spellEnd"/>
          </w:p>
        </w:tc>
      </w:tr>
      <w:tr w:rsidR="00464C7B" w:rsidTr="00F30C38">
        <w:tc>
          <w:tcPr>
            <w:tcW w:w="709" w:type="dxa"/>
            <w:vAlign w:val="center"/>
          </w:tcPr>
          <w:p w:rsidR="00464C7B" w:rsidRDefault="00464C7B" w:rsidP="00F30C38">
            <w:pPr>
              <w:jc w:val="center"/>
            </w:pPr>
            <w:r>
              <w:rPr>
                <w:rFonts w:hint="eastAsia"/>
              </w:rPr>
              <w:t>2</w:t>
            </w:r>
          </w:p>
        </w:tc>
        <w:tc>
          <w:tcPr>
            <w:tcW w:w="2268" w:type="dxa"/>
            <w:vAlign w:val="center"/>
          </w:tcPr>
          <w:p w:rsidR="00464C7B" w:rsidRPr="00414F7A" w:rsidRDefault="00464C7B" w:rsidP="00F30C38">
            <w:pPr>
              <w:spacing w:line="360" w:lineRule="auto"/>
              <w:rPr>
                <w:rFonts w:ascii="仿宋" w:eastAsia="仿宋" w:hAnsi="仿宋" w:cs="Times New Roman"/>
                <w:sz w:val="24"/>
                <w:szCs w:val="24"/>
              </w:rPr>
            </w:pPr>
            <w:proofErr w:type="spellStart"/>
            <w:r w:rsidRPr="00E82F83">
              <w:rPr>
                <w:rFonts w:ascii="Times New Roman" w:eastAsia="仿宋" w:hAnsi="Times New Roman" w:cs="Times New Roman"/>
                <w:sz w:val="20"/>
                <w:szCs w:val="20"/>
              </w:rPr>
              <w:t>MUVi</w:t>
            </w:r>
            <w:proofErr w:type="spellEnd"/>
            <w:r w:rsidRPr="00E82F83">
              <w:rPr>
                <w:rFonts w:ascii="Times New Roman" w:eastAsia="仿宋" w:hAnsi="Times New Roman" w:cs="Times New Roman"/>
                <w:sz w:val="20"/>
                <w:szCs w:val="20"/>
              </w:rPr>
              <w:t xml:space="preserve"> </w:t>
            </w:r>
            <w:proofErr w:type="spellStart"/>
            <w:r w:rsidRPr="00E82F83">
              <w:rPr>
                <w:rFonts w:ascii="Times New Roman" w:eastAsia="仿宋" w:hAnsi="Times New Roman" w:cs="Times New Roman"/>
                <w:sz w:val="20"/>
                <w:szCs w:val="20"/>
              </w:rPr>
              <w:t>IoT</w:t>
            </w:r>
            <w:proofErr w:type="spellEnd"/>
            <w:r w:rsidRPr="00E82F83">
              <w:rPr>
                <w:rFonts w:ascii="Times New Roman" w:eastAsia="仿宋" w:hAnsi="Times New Roman" w:cs="Times New Roman"/>
                <w:sz w:val="20"/>
                <w:szCs w:val="20"/>
              </w:rPr>
              <w:t xml:space="preserve"> </w:t>
            </w:r>
            <w:r w:rsidRPr="00414F7A">
              <w:rPr>
                <w:rFonts w:ascii="仿宋" w:eastAsia="仿宋" w:hAnsi="仿宋" w:cs="Times New Roman"/>
                <w:bCs/>
                <w:sz w:val="24"/>
                <w:szCs w:val="24"/>
              </w:rPr>
              <w:t>消毒追踪传感器</w:t>
            </w:r>
          </w:p>
          <w:p w:rsidR="00464C7B" w:rsidRPr="00414F7A" w:rsidRDefault="00464C7B" w:rsidP="00F30C38">
            <w:pPr>
              <w:rPr>
                <w:rFonts w:ascii="仿宋" w:eastAsia="仿宋" w:hAnsi="仿宋" w:cs="Times New Roman"/>
                <w:sz w:val="24"/>
                <w:szCs w:val="24"/>
              </w:rPr>
            </w:pPr>
          </w:p>
        </w:tc>
        <w:tc>
          <w:tcPr>
            <w:tcW w:w="4819" w:type="dxa"/>
          </w:tcPr>
          <w:p w:rsidR="00464C7B" w:rsidRPr="00414F7A" w:rsidRDefault="00464C7B" w:rsidP="00F30C38">
            <w:pPr>
              <w:rPr>
                <w:rFonts w:ascii="仿宋" w:eastAsia="仿宋" w:hAnsi="仿宋" w:cs="Times New Roman"/>
                <w:sz w:val="20"/>
                <w:szCs w:val="20"/>
              </w:rPr>
            </w:pPr>
            <w:r w:rsidRPr="00414F7A">
              <w:rPr>
                <w:rFonts w:ascii="仿宋" w:eastAsia="仿宋" w:hAnsi="仿宋" w:cs="Times New Roman"/>
                <w:sz w:val="20"/>
                <w:szCs w:val="20"/>
              </w:rPr>
              <w:t>该项目利用追踪传感器，可以检测医疗设备和医院病房中的消毒情况，可直接安装与病房墙上、病床四周、医疗设备上，可提供实时的反馈和提醒。病人呼吸道、体表、分泌物和排泄物中的病原体在院内传播.感染医务人员和其他病人，尤其对体质衰弱、免疫缺损或抑制的病人更具危险性，再加上病原体耐药的普遍性,致使一系列“医院感染”问题出现。</w:t>
            </w:r>
            <w:proofErr w:type="spellStart"/>
            <w:r w:rsidRPr="00E82F83">
              <w:rPr>
                <w:rFonts w:ascii="Times New Roman" w:eastAsia="仿宋" w:hAnsi="Times New Roman" w:cs="Times New Roman"/>
                <w:sz w:val="20"/>
                <w:szCs w:val="20"/>
              </w:rPr>
              <w:t>MUVi</w:t>
            </w:r>
            <w:proofErr w:type="spellEnd"/>
            <w:r w:rsidRPr="00E82F83">
              <w:rPr>
                <w:rFonts w:ascii="Times New Roman" w:eastAsia="仿宋" w:hAnsi="Times New Roman" w:cs="Times New Roman"/>
                <w:sz w:val="20"/>
                <w:szCs w:val="20"/>
              </w:rPr>
              <w:t xml:space="preserve"> </w:t>
            </w:r>
            <w:proofErr w:type="spellStart"/>
            <w:r w:rsidRPr="00E82F83">
              <w:rPr>
                <w:rFonts w:ascii="Times New Roman" w:eastAsia="仿宋" w:hAnsi="Times New Roman" w:cs="Times New Roman"/>
                <w:sz w:val="20"/>
                <w:szCs w:val="20"/>
              </w:rPr>
              <w:t>IoT</w:t>
            </w:r>
            <w:proofErr w:type="spellEnd"/>
            <w:r w:rsidRPr="00414F7A">
              <w:rPr>
                <w:rFonts w:ascii="仿宋" w:eastAsia="仿宋" w:hAnsi="仿宋" w:cs="Times New Roman"/>
                <w:sz w:val="20"/>
                <w:szCs w:val="20"/>
              </w:rPr>
              <w:t>传感器的出现可精确追踪未消毒区域，以代替人工纸质消毒记录。</w:t>
            </w:r>
          </w:p>
        </w:tc>
        <w:tc>
          <w:tcPr>
            <w:tcW w:w="2494" w:type="dxa"/>
            <w:vAlign w:val="center"/>
          </w:tcPr>
          <w:p w:rsidR="00464C7B" w:rsidRPr="00E82F83" w:rsidRDefault="00464C7B" w:rsidP="00F30C38">
            <w:pPr>
              <w:jc w:val="left"/>
              <w:rPr>
                <w:rFonts w:ascii="Times New Roman" w:eastAsia="仿宋" w:hAnsi="Times New Roman" w:cs="Times New Roman"/>
                <w:sz w:val="24"/>
                <w:szCs w:val="24"/>
              </w:rPr>
            </w:pPr>
            <w:r w:rsidRPr="00E82F83">
              <w:rPr>
                <w:rFonts w:ascii="Times New Roman" w:eastAsia="仿宋" w:hAnsi="Times New Roman" w:cs="Times New Roman"/>
                <w:sz w:val="24"/>
                <w:szCs w:val="24"/>
              </w:rPr>
              <w:t>Mobile UV Innovations P/L</w:t>
            </w:r>
          </w:p>
        </w:tc>
      </w:tr>
      <w:tr w:rsidR="00464C7B" w:rsidTr="00F30C38">
        <w:tc>
          <w:tcPr>
            <w:tcW w:w="709" w:type="dxa"/>
            <w:vAlign w:val="center"/>
          </w:tcPr>
          <w:p w:rsidR="00464C7B" w:rsidRDefault="00464C7B" w:rsidP="00F30C38">
            <w:pPr>
              <w:jc w:val="center"/>
            </w:pPr>
            <w:r>
              <w:rPr>
                <w:rFonts w:hint="eastAsia"/>
              </w:rPr>
              <w:t>3</w:t>
            </w:r>
          </w:p>
        </w:tc>
        <w:tc>
          <w:tcPr>
            <w:tcW w:w="2268" w:type="dxa"/>
            <w:vAlign w:val="center"/>
          </w:tcPr>
          <w:p w:rsidR="00464C7B" w:rsidRPr="00414F7A" w:rsidRDefault="00464C7B" w:rsidP="00F30C38">
            <w:pPr>
              <w:rPr>
                <w:rFonts w:ascii="仿宋" w:eastAsia="仿宋" w:hAnsi="仿宋" w:cs="Times New Roman"/>
                <w:sz w:val="24"/>
                <w:szCs w:val="24"/>
              </w:rPr>
            </w:pPr>
            <w:r w:rsidRPr="00414F7A">
              <w:rPr>
                <w:rFonts w:ascii="仿宋" w:eastAsia="仿宋" w:hAnsi="仿宋" w:cs="Times New Roman"/>
                <w:bCs/>
                <w:sz w:val="24"/>
                <w:szCs w:val="24"/>
              </w:rPr>
              <w:t>下一代医疗放射传感器技术</w:t>
            </w:r>
          </w:p>
        </w:tc>
        <w:tc>
          <w:tcPr>
            <w:tcW w:w="4819" w:type="dxa"/>
          </w:tcPr>
          <w:p w:rsidR="00464C7B" w:rsidRPr="00414F7A" w:rsidRDefault="00464C7B" w:rsidP="00F30C38">
            <w:pPr>
              <w:spacing w:line="360" w:lineRule="auto"/>
              <w:rPr>
                <w:rFonts w:ascii="仿宋" w:eastAsia="仿宋" w:hAnsi="仿宋" w:cs="Times New Roman"/>
                <w:sz w:val="20"/>
                <w:szCs w:val="20"/>
              </w:rPr>
            </w:pPr>
            <w:proofErr w:type="spellStart"/>
            <w:r w:rsidRPr="00E82F83">
              <w:rPr>
                <w:rFonts w:ascii="Times New Roman" w:eastAsia="仿宋" w:hAnsi="Times New Roman" w:cs="Times New Roman"/>
                <w:sz w:val="20"/>
                <w:szCs w:val="20"/>
              </w:rPr>
              <w:t>MOSki</w:t>
            </w:r>
            <w:r w:rsidRPr="00414F7A">
              <w:rPr>
                <w:rFonts w:ascii="仿宋" w:eastAsia="仿宋" w:hAnsi="仿宋" w:cs="Times New Roman"/>
                <w:sz w:val="20"/>
                <w:szCs w:val="20"/>
              </w:rPr>
              <w:t>n</w:t>
            </w:r>
            <w:proofErr w:type="spellEnd"/>
            <w:r w:rsidRPr="00414F7A">
              <w:rPr>
                <w:rFonts w:ascii="仿宋" w:eastAsia="仿宋" w:hAnsi="仿宋" w:cs="Times New Roman"/>
                <w:sz w:val="20"/>
                <w:szCs w:val="20"/>
              </w:rPr>
              <w:t>是世界上最先进和最</w:t>
            </w:r>
            <w:proofErr w:type="gramStart"/>
            <w:r w:rsidRPr="00414F7A">
              <w:rPr>
                <w:rFonts w:ascii="仿宋" w:eastAsia="仿宋" w:hAnsi="仿宋" w:cs="Times New Roman"/>
                <w:sz w:val="20"/>
                <w:szCs w:val="20"/>
              </w:rPr>
              <w:t>具成本</w:t>
            </w:r>
            <w:proofErr w:type="gramEnd"/>
            <w:r w:rsidRPr="00414F7A">
              <w:rPr>
                <w:rFonts w:ascii="仿宋" w:eastAsia="仿宋" w:hAnsi="仿宋" w:cs="Times New Roman"/>
                <w:sz w:val="20"/>
                <w:szCs w:val="20"/>
              </w:rPr>
              <w:t>效益的辐射传感器技术，可在癌症患者放疗、诊断/介入</w:t>
            </w:r>
            <w:r w:rsidRPr="00E82F83">
              <w:rPr>
                <w:rFonts w:ascii="Times New Roman" w:eastAsia="仿宋" w:hAnsi="Times New Roman" w:cs="Times New Roman"/>
                <w:sz w:val="20"/>
                <w:szCs w:val="20"/>
              </w:rPr>
              <w:t>(CT)</w:t>
            </w:r>
            <w:r w:rsidRPr="00414F7A">
              <w:rPr>
                <w:rFonts w:ascii="仿宋" w:eastAsia="仿宋" w:hAnsi="仿宋" w:cs="Times New Roman"/>
                <w:sz w:val="20"/>
                <w:szCs w:val="20"/>
              </w:rPr>
              <w:t>扫描和血管造影期间精确实时测量辐射剂量。</w:t>
            </w:r>
          </w:p>
        </w:tc>
        <w:tc>
          <w:tcPr>
            <w:tcW w:w="2494" w:type="dxa"/>
            <w:vAlign w:val="center"/>
          </w:tcPr>
          <w:p w:rsidR="00464C7B" w:rsidRPr="00E82F83" w:rsidRDefault="00464C7B" w:rsidP="00F30C38">
            <w:pPr>
              <w:jc w:val="left"/>
              <w:rPr>
                <w:rFonts w:ascii="Times New Roman" w:eastAsia="仿宋" w:hAnsi="Times New Roman" w:cs="Times New Roman"/>
                <w:sz w:val="24"/>
                <w:szCs w:val="24"/>
              </w:rPr>
            </w:pPr>
            <w:r w:rsidRPr="00E82F83">
              <w:rPr>
                <w:rFonts w:ascii="Times New Roman" w:eastAsia="仿宋" w:hAnsi="Times New Roman" w:cs="Times New Roman"/>
                <w:color w:val="1D1D1D"/>
                <w:sz w:val="24"/>
                <w:szCs w:val="24"/>
              </w:rPr>
              <w:t>University of Wollongong</w:t>
            </w:r>
          </w:p>
        </w:tc>
      </w:tr>
      <w:tr w:rsidR="00464C7B" w:rsidTr="00F30C38">
        <w:tc>
          <w:tcPr>
            <w:tcW w:w="709" w:type="dxa"/>
            <w:vAlign w:val="center"/>
          </w:tcPr>
          <w:p w:rsidR="00464C7B" w:rsidRDefault="00464C7B" w:rsidP="00F30C38">
            <w:pPr>
              <w:jc w:val="center"/>
            </w:pPr>
            <w:r>
              <w:rPr>
                <w:rFonts w:hint="eastAsia"/>
              </w:rPr>
              <w:t>4</w:t>
            </w:r>
          </w:p>
        </w:tc>
        <w:tc>
          <w:tcPr>
            <w:tcW w:w="2268" w:type="dxa"/>
            <w:vAlign w:val="center"/>
          </w:tcPr>
          <w:p w:rsidR="00464C7B" w:rsidRPr="00414F7A" w:rsidRDefault="00464C7B" w:rsidP="00F30C38">
            <w:pPr>
              <w:rPr>
                <w:rFonts w:ascii="仿宋" w:eastAsia="仿宋" w:hAnsi="仿宋" w:cs="Times New Roman"/>
                <w:bCs/>
                <w:sz w:val="24"/>
                <w:szCs w:val="24"/>
              </w:rPr>
            </w:pPr>
            <w:r w:rsidRPr="00A568A3">
              <w:rPr>
                <w:rFonts w:ascii="仿宋" w:eastAsia="仿宋" w:hAnsi="仿宋" w:cs="Times New Roman" w:hint="eastAsia"/>
                <w:bCs/>
                <w:sz w:val="24"/>
                <w:szCs w:val="24"/>
              </w:rPr>
              <w:t>NEUCLONE生物</w:t>
            </w:r>
            <w:proofErr w:type="gramStart"/>
            <w:r w:rsidRPr="00A568A3">
              <w:rPr>
                <w:rFonts w:ascii="仿宋" w:eastAsia="仿宋" w:hAnsi="仿宋" w:cs="Times New Roman" w:hint="eastAsia"/>
                <w:bCs/>
                <w:sz w:val="24"/>
                <w:szCs w:val="24"/>
              </w:rPr>
              <w:t>类似药</w:t>
            </w:r>
            <w:proofErr w:type="gramEnd"/>
            <w:r w:rsidRPr="00A568A3">
              <w:rPr>
                <w:rFonts w:ascii="仿宋" w:eastAsia="仿宋" w:hAnsi="仿宋" w:cs="Times New Roman" w:hint="eastAsia"/>
                <w:bCs/>
                <w:sz w:val="24"/>
                <w:szCs w:val="24"/>
              </w:rPr>
              <w:t>研发及生产</w:t>
            </w:r>
          </w:p>
        </w:tc>
        <w:tc>
          <w:tcPr>
            <w:tcW w:w="4819" w:type="dxa"/>
          </w:tcPr>
          <w:p w:rsidR="00464C7B" w:rsidRPr="00414F7A" w:rsidRDefault="00464C7B" w:rsidP="00F30C38">
            <w:pPr>
              <w:spacing w:line="360" w:lineRule="auto"/>
              <w:rPr>
                <w:rFonts w:ascii="仿宋" w:eastAsia="仿宋" w:hAnsi="仿宋" w:cs="Times New Roman"/>
                <w:sz w:val="20"/>
                <w:szCs w:val="20"/>
              </w:rPr>
            </w:pPr>
            <w:r w:rsidRPr="00E82F83">
              <w:rPr>
                <w:rFonts w:ascii="Times New Roman" w:eastAsia="仿宋" w:hAnsi="Times New Roman" w:cs="Times New Roman" w:hint="eastAsia"/>
                <w:sz w:val="20"/>
                <w:szCs w:val="20"/>
              </w:rPr>
              <w:t>NEUCLONE</w:t>
            </w:r>
            <w:r w:rsidRPr="00A568A3">
              <w:rPr>
                <w:rFonts w:ascii="仿宋" w:eastAsia="仿宋" w:hAnsi="仿宋" w:cs="Times New Roman" w:hint="eastAsia"/>
                <w:sz w:val="20"/>
                <w:szCs w:val="20"/>
              </w:rPr>
              <w:t>是一家临床级生物制药公司，专注于高质量生物相似产品的开发和商业化。提高患者的负担能力和获得挽救生命和延长生命的治疗。为全球的患者开发临床相同的生物仿制药的多样化组合。</w:t>
            </w:r>
            <w:r w:rsidRPr="00E82F83">
              <w:rPr>
                <w:rFonts w:ascii="Times New Roman" w:eastAsia="仿宋" w:hAnsi="Times New Roman" w:cs="Times New Roman" w:hint="eastAsia"/>
                <w:sz w:val="20"/>
                <w:szCs w:val="20"/>
              </w:rPr>
              <w:t>NEUCLONE</w:t>
            </w:r>
            <w:r w:rsidRPr="00A568A3">
              <w:rPr>
                <w:rFonts w:ascii="仿宋" w:eastAsia="仿宋" w:hAnsi="仿宋" w:cs="Times New Roman" w:hint="eastAsia"/>
                <w:sz w:val="20"/>
                <w:szCs w:val="20"/>
              </w:rPr>
              <w:t>是生物</w:t>
            </w:r>
            <w:proofErr w:type="gramStart"/>
            <w:r w:rsidRPr="00A568A3">
              <w:rPr>
                <w:rFonts w:ascii="仿宋" w:eastAsia="仿宋" w:hAnsi="仿宋" w:cs="Times New Roman" w:hint="eastAsia"/>
                <w:sz w:val="20"/>
                <w:szCs w:val="20"/>
              </w:rPr>
              <w:t>类似药</w:t>
            </w:r>
            <w:proofErr w:type="gramEnd"/>
            <w:r w:rsidRPr="00A568A3">
              <w:rPr>
                <w:rFonts w:ascii="仿宋" w:eastAsia="仿宋" w:hAnsi="仿宋" w:cs="Times New Roman" w:hint="eastAsia"/>
                <w:sz w:val="20"/>
                <w:szCs w:val="20"/>
              </w:rPr>
              <w:t>细胞系开发的全球领导者，可保证高质量的同时可进行最低成本大规模生产。</w:t>
            </w:r>
          </w:p>
        </w:tc>
        <w:tc>
          <w:tcPr>
            <w:tcW w:w="2494" w:type="dxa"/>
            <w:vAlign w:val="center"/>
          </w:tcPr>
          <w:p w:rsidR="00464C7B" w:rsidRPr="00E82F83" w:rsidRDefault="00464C7B" w:rsidP="00F30C38">
            <w:pPr>
              <w:rPr>
                <w:rFonts w:ascii="Times New Roman" w:eastAsia="仿宋" w:hAnsi="Times New Roman" w:cs="Times New Roman"/>
                <w:color w:val="1D1D1D"/>
                <w:sz w:val="24"/>
                <w:szCs w:val="24"/>
              </w:rPr>
            </w:pPr>
            <w:proofErr w:type="spellStart"/>
            <w:r w:rsidRPr="00E82F83">
              <w:rPr>
                <w:rFonts w:ascii="Times New Roman" w:eastAsia="仿宋" w:hAnsi="Times New Roman" w:cs="Times New Roman"/>
                <w:color w:val="1D1D1D"/>
                <w:sz w:val="24"/>
                <w:szCs w:val="24"/>
              </w:rPr>
              <w:t>Neuclone</w:t>
            </w:r>
            <w:proofErr w:type="spellEnd"/>
          </w:p>
        </w:tc>
      </w:tr>
      <w:tr w:rsidR="00464C7B" w:rsidTr="00F30C38">
        <w:tc>
          <w:tcPr>
            <w:tcW w:w="709" w:type="dxa"/>
            <w:vAlign w:val="center"/>
          </w:tcPr>
          <w:p w:rsidR="00464C7B" w:rsidRDefault="00464C7B" w:rsidP="00F30C38">
            <w:pPr>
              <w:jc w:val="center"/>
            </w:pPr>
            <w:r>
              <w:rPr>
                <w:rFonts w:hint="eastAsia"/>
              </w:rPr>
              <w:t>5</w:t>
            </w:r>
          </w:p>
        </w:tc>
        <w:tc>
          <w:tcPr>
            <w:tcW w:w="2268" w:type="dxa"/>
            <w:vAlign w:val="center"/>
          </w:tcPr>
          <w:p w:rsidR="00464C7B" w:rsidRDefault="00464C7B" w:rsidP="00F30C38">
            <w:r w:rsidRPr="000B5CFD">
              <w:rPr>
                <w:rFonts w:ascii="仿宋" w:eastAsia="仿宋" w:hAnsi="仿宋" w:cs="Times New Roman"/>
                <w:bCs/>
                <w:sz w:val="24"/>
                <w:szCs w:val="24"/>
              </w:rPr>
              <w:t>显微内镜技术</w:t>
            </w:r>
          </w:p>
        </w:tc>
        <w:tc>
          <w:tcPr>
            <w:tcW w:w="4819" w:type="dxa"/>
          </w:tcPr>
          <w:p w:rsidR="00464C7B" w:rsidRPr="00414F7A" w:rsidRDefault="00464C7B" w:rsidP="00F30C38">
            <w:pPr>
              <w:ind w:firstLineChars="200" w:firstLine="400"/>
              <w:rPr>
                <w:rFonts w:ascii="仿宋" w:eastAsia="仿宋" w:hAnsi="仿宋" w:cs="Times New Roman"/>
                <w:sz w:val="20"/>
                <w:szCs w:val="20"/>
              </w:rPr>
            </w:pPr>
            <w:proofErr w:type="spellStart"/>
            <w:r w:rsidRPr="00E82F83">
              <w:rPr>
                <w:rFonts w:ascii="Times New Roman" w:eastAsia="仿宋" w:hAnsi="Times New Roman" w:cs="Times New Roman"/>
                <w:sz w:val="20"/>
                <w:szCs w:val="20"/>
              </w:rPr>
              <w:t>OptiScan</w:t>
            </w:r>
            <w:proofErr w:type="spellEnd"/>
            <w:r w:rsidRPr="00E82F83">
              <w:rPr>
                <w:rFonts w:ascii="Times New Roman" w:eastAsia="仿宋" w:hAnsi="Times New Roman" w:cs="Times New Roman"/>
                <w:sz w:val="20"/>
                <w:szCs w:val="20"/>
              </w:rPr>
              <w:t xml:space="preserve"> (ASX:OIL)</w:t>
            </w:r>
            <w:r w:rsidRPr="00414F7A">
              <w:rPr>
                <w:rFonts w:ascii="仿宋" w:eastAsia="仿宋" w:hAnsi="仿宋" w:cs="Times New Roman"/>
                <w:sz w:val="20"/>
                <w:szCs w:val="20"/>
              </w:rPr>
              <w:t>是一家澳大利亚</w:t>
            </w:r>
            <w:r>
              <w:rPr>
                <w:rFonts w:ascii="仿宋" w:eastAsia="仿宋" w:hAnsi="仿宋" w:cs="Times New Roman" w:hint="eastAsia"/>
                <w:sz w:val="20"/>
                <w:szCs w:val="20"/>
              </w:rPr>
              <w:t>科技公司</w:t>
            </w:r>
            <w:r w:rsidRPr="00414F7A">
              <w:rPr>
                <w:rFonts w:ascii="仿宋" w:eastAsia="仿宋" w:hAnsi="仿宋" w:cs="Times New Roman"/>
                <w:sz w:val="20"/>
                <w:szCs w:val="20"/>
              </w:rPr>
              <w:t>，在手术和医学研究的显微成像和相关技术的开发方面处于全球领先地位</w:t>
            </w:r>
            <w:r>
              <w:rPr>
                <w:rFonts w:ascii="仿宋" w:eastAsia="仿宋" w:hAnsi="仿宋" w:cs="Times New Roman" w:hint="eastAsia"/>
                <w:sz w:val="20"/>
                <w:szCs w:val="20"/>
              </w:rPr>
              <w:t>。公司</w:t>
            </w:r>
            <w:r w:rsidRPr="00414F7A">
              <w:rPr>
                <w:rFonts w:ascii="仿宋" w:eastAsia="仿宋" w:hAnsi="仿宋" w:cs="Times New Roman"/>
                <w:sz w:val="20"/>
                <w:szCs w:val="20"/>
              </w:rPr>
              <w:t>已经开发并申请了显微内镜技术的专利，该技术能够在细胞水平上对人体组织进行实时、三维、“体内”成像——用于癌症筛查、诊断和治疗的即时虚拟活组织检查。</w:t>
            </w:r>
          </w:p>
          <w:p w:rsidR="00464C7B" w:rsidRPr="00414F7A" w:rsidRDefault="00464C7B" w:rsidP="00F30C38">
            <w:pPr>
              <w:ind w:firstLineChars="200" w:firstLine="400"/>
              <w:rPr>
                <w:rFonts w:ascii="仿宋" w:eastAsia="仿宋" w:hAnsi="仿宋" w:cs="Times New Roman"/>
                <w:sz w:val="20"/>
                <w:szCs w:val="20"/>
              </w:rPr>
            </w:pPr>
            <w:proofErr w:type="spellStart"/>
            <w:r w:rsidRPr="00E82F83">
              <w:rPr>
                <w:rFonts w:ascii="Times New Roman" w:eastAsia="仿宋" w:hAnsi="Times New Roman" w:cs="Times New Roman" w:hint="eastAsia"/>
                <w:sz w:val="20"/>
                <w:szCs w:val="20"/>
              </w:rPr>
              <w:t>optiscan</w:t>
            </w:r>
            <w:proofErr w:type="spellEnd"/>
            <w:r w:rsidRPr="00414F7A">
              <w:rPr>
                <w:rFonts w:ascii="仿宋" w:eastAsia="仿宋" w:hAnsi="仿宋" w:cs="Times New Roman"/>
                <w:sz w:val="20"/>
                <w:szCs w:val="20"/>
              </w:rPr>
              <w:t>设备被北美、欧洲、亚洲和澳大利亚的主要研究机构和医院使用，包括纽约的斯隆凯特琳癌症中心</w:t>
            </w:r>
            <w:r w:rsidRPr="00E82F83">
              <w:rPr>
                <w:rFonts w:ascii="Times New Roman" w:eastAsia="仿宋" w:hAnsi="Times New Roman" w:cs="Times New Roman"/>
                <w:sz w:val="20"/>
                <w:szCs w:val="20"/>
              </w:rPr>
              <w:t>(Memorial Sloan Kettering Cancer Centre)</w:t>
            </w:r>
            <w:r w:rsidRPr="00414F7A">
              <w:rPr>
                <w:rFonts w:ascii="仿宋" w:eastAsia="仿宋" w:hAnsi="仿宋" w:cs="Times New Roman"/>
                <w:sz w:val="20"/>
                <w:szCs w:val="20"/>
              </w:rPr>
              <w:t>。在澳大利亚，他们与墨尔本牙科学校、皇家墨尔本医院、彼得·麦卡勒姆癌症中心和澳大利亚口腔肿瘤研究中心合作。</w:t>
            </w:r>
          </w:p>
          <w:p w:rsidR="00464C7B" w:rsidRPr="00414F7A" w:rsidRDefault="00464C7B" w:rsidP="00F30C38">
            <w:pPr>
              <w:ind w:firstLineChars="200" w:firstLine="400"/>
              <w:rPr>
                <w:rFonts w:ascii="仿宋" w:eastAsia="仿宋" w:hAnsi="仿宋" w:cs="Times New Roman"/>
                <w:sz w:val="20"/>
                <w:szCs w:val="20"/>
              </w:rPr>
            </w:pPr>
            <w:r w:rsidRPr="00414F7A">
              <w:rPr>
                <w:rFonts w:ascii="仿宋" w:eastAsia="仿宋" w:hAnsi="仿宋" w:cs="Times New Roman"/>
                <w:sz w:val="20"/>
                <w:szCs w:val="20"/>
              </w:rPr>
              <w:lastRenderedPageBreak/>
              <w:t>该技术使临床医生能够在手术过程中立即观察和评估癌变组织，减少或消除了多次手术的需要。</w:t>
            </w:r>
          </w:p>
          <w:p w:rsidR="00464C7B" w:rsidRDefault="00464C7B" w:rsidP="00F30C38">
            <w:proofErr w:type="spellStart"/>
            <w:r w:rsidRPr="00E82F83">
              <w:rPr>
                <w:rFonts w:ascii="Times New Roman" w:eastAsia="仿宋" w:hAnsi="Times New Roman" w:cs="Times New Roman"/>
                <w:sz w:val="20"/>
                <w:szCs w:val="20"/>
              </w:rPr>
              <w:t>OptiScan</w:t>
            </w:r>
            <w:proofErr w:type="spellEnd"/>
            <w:r w:rsidRPr="00414F7A">
              <w:rPr>
                <w:rFonts w:ascii="仿宋" w:eastAsia="仿宋" w:hAnsi="仿宋" w:cs="Times New Roman"/>
                <w:sz w:val="20"/>
                <w:szCs w:val="20"/>
              </w:rPr>
              <w:t>最初</w:t>
            </w:r>
            <w:proofErr w:type="gramStart"/>
            <w:r w:rsidRPr="00414F7A">
              <w:rPr>
                <w:rFonts w:ascii="仿宋" w:eastAsia="仿宋" w:hAnsi="仿宋" w:cs="Times New Roman"/>
                <w:sz w:val="20"/>
                <w:szCs w:val="20"/>
              </w:rPr>
              <w:t>诞生于莫纳</w:t>
            </w:r>
            <w:proofErr w:type="gramEnd"/>
            <w:r w:rsidRPr="00414F7A">
              <w:rPr>
                <w:rFonts w:ascii="仿宋" w:eastAsia="仿宋" w:hAnsi="仿宋" w:cs="Times New Roman"/>
                <w:sz w:val="20"/>
                <w:szCs w:val="20"/>
              </w:rPr>
              <w:t>什大学，其设备在维多利亚制造。该公司与全球医疗设备公司卡尔·蔡司·迈迪特克(</w:t>
            </w:r>
            <w:r w:rsidRPr="00E82F83">
              <w:rPr>
                <w:rFonts w:ascii="Times New Roman" w:eastAsia="仿宋" w:hAnsi="Times New Roman" w:cs="Times New Roman"/>
                <w:sz w:val="20"/>
                <w:szCs w:val="20"/>
              </w:rPr>
              <w:t xml:space="preserve">Carl Zeiss </w:t>
            </w:r>
            <w:proofErr w:type="spellStart"/>
            <w:r w:rsidRPr="00E82F83">
              <w:rPr>
                <w:rFonts w:ascii="Times New Roman" w:eastAsia="仿宋" w:hAnsi="Times New Roman" w:cs="Times New Roman"/>
                <w:sz w:val="20"/>
                <w:szCs w:val="20"/>
              </w:rPr>
              <w:t>Meditec</w:t>
            </w:r>
            <w:proofErr w:type="spellEnd"/>
            <w:r w:rsidRPr="00414F7A">
              <w:rPr>
                <w:rFonts w:ascii="仿宋" w:eastAsia="仿宋" w:hAnsi="仿宋" w:cs="Times New Roman"/>
                <w:sz w:val="20"/>
                <w:szCs w:val="20"/>
              </w:rPr>
              <w:t>)有长期合作关系，并提供用于神经外科的技术。</w:t>
            </w:r>
          </w:p>
        </w:tc>
        <w:tc>
          <w:tcPr>
            <w:tcW w:w="2494" w:type="dxa"/>
            <w:vAlign w:val="center"/>
          </w:tcPr>
          <w:p w:rsidR="00464C7B" w:rsidRPr="00E82F83" w:rsidRDefault="00464C7B" w:rsidP="00F30C38">
            <w:pPr>
              <w:rPr>
                <w:rFonts w:ascii="Times New Roman" w:hAnsi="Times New Roman" w:cs="Times New Roman"/>
                <w:sz w:val="24"/>
                <w:szCs w:val="24"/>
              </w:rPr>
            </w:pPr>
            <w:proofErr w:type="spellStart"/>
            <w:r w:rsidRPr="00E82F83">
              <w:rPr>
                <w:rFonts w:ascii="Times New Roman" w:eastAsia="仿宋" w:hAnsi="Times New Roman" w:cs="Times New Roman"/>
                <w:sz w:val="24"/>
                <w:szCs w:val="24"/>
              </w:rPr>
              <w:lastRenderedPageBreak/>
              <w:t>OptiScan</w:t>
            </w:r>
            <w:proofErr w:type="spellEnd"/>
          </w:p>
        </w:tc>
      </w:tr>
      <w:tr w:rsidR="00464C7B" w:rsidTr="00F30C38">
        <w:tc>
          <w:tcPr>
            <w:tcW w:w="709" w:type="dxa"/>
            <w:vAlign w:val="center"/>
          </w:tcPr>
          <w:p w:rsidR="00464C7B" w:rsidRDefault="00464C7B" w:rsidP="00F30C38">
            <w:pPr>
              <w:jc w:val="center"/>
            </w:pPr>
            <w:r>
              <w:rPr>
                <w:rFonts w:hint="eastAsia"/>
              </w:rPr>
              <w:lastRenderedPageBreak/>
              <w:t>6</w:t>
            </w:r>
          </w:p>
        </w:tc>
        <w:tc>
          <w:tcPr>
            <w:tcW w:w="2268" w:type="dxa"/>
            <w:vAlign w:val="center"/>
          </w:tcPr>
          <w:p w:rsidR="00464C7B" w:rsidRPr="00C4120C" w:rsidRDefault="00464C7B" w:rsidP="00F30C38">
            <w:pPr>
              <w:rPr>
                <w:rFonts w:ascii="宋体" w:eastAsia="宋体" w:hAnsi="宋体" w:cs="宋体"/>
                <w:kern w:val="0"/>
                <w:sz w:val="24"/>
                <w:szCs w:val="24"/>
              </w:rPr>
            </w:pPr>
            <w:r w:rsidRPr="000B5CFD">
              <w:rPr>
                <w:rFonts w:ascii="仿宋" w:eastAsia="仿宋" w:hAnsi="仿宋" w:cs="Times New Roman"/>
                <w:bCs/>
                <w:sz w:val="24"/>
                <w:szCs w:val="24"/>
              </w:rPr>
              <w:t>早期临床试验的</w:t>
            </w:r>
            <w:r w:rsidRPr="000B5CFD">
              <w:rPr>
                <w:rFonts w:ascii="仿宋" w:eastAsia="仿宋" w:hAnsi="仿宋" w:cs="Times New Roman" w:hint="eastAsia"/>
                <w:bCs/>
                <w:sz w:val="24"/>
                <w:szCs w:val="24"/>
              </w:rPr>
              <w:t>支撑研究</w:t>
            </w:r>
          </w:p>
        </w:tc>
        <w:tc>
          <w:tcPr>
            <w:tcW w:w="4819" w:type="dxa"/>
          </w:tcPr>
          <w:p w:rsidR="00464C7B" w:rsidRDefault="00464C7B" w:rsidP="00F30C38">
            <w:r w:rsidRPr="00C4120C">
              <w:rPr>
                <w:rFonts w:ascii="仿宋" w:eastAsia="仿宋" w:hAnsi="仿宋" w:cs="Times New Roman"/>
                <w:sz w:val="20"/>
                <w:szCs w:val="20"/>
              </w:rPr>
              <w:t>Nucleus Network是澳大利亚最大的一期临床研究组织，也是全球唯一的一期专家，在澳大利亚和美国均设有一期设施。 自2004年成立以来，Nucleus Network已进行了700多次一期临床试验，其中80％的客户包括美国的生物技术和制药公司。每年进行约70项一期研究，其中约30项是真正的首次人体试验。 在大多数治疗领域，Nucleus在生物和小分子产品方面都有丰富的经验。 在我们的国际足迹中，我们可以访问所有三个站点的1050万人以上的人口，并能够为您的客户招募参与者和患者提供多站点解决方案。</w:t>
            </w:r>
          </w:p>
        </w:tc>
        <w:tc>
          <w:tcPr>
            <w:tcW w:w="2494" w:type="dxa"/>
            <w:vAlign w:val="center"/>
          </w:tcPr>
          <w:p w:rsidR="00464C7B" w:rsidRPr="00E82F83" w:rsidRDefault="00464C7B" w:rsidP="00F30C38">
            <w:pPr>
              <w:rPr>
                <w:sz w:val="24"/>
                <w:szCs w:val="24"/>
              </w:rPr>
            </w:pPr>
            <w:r w:rsidRPr="00E82F83">
              <w:rPr>
                <w:rFonts w:ascii="Times New Roman" w:eastAsia="仿宋_GB2312" w:hAnsi="Times New Roman" w:cs="Times New Roman"/>
                <w:kern w:val="0"/>
                <w:sz w:val="24"/>
                <w:szCs w:val="24"/>
              </w:rPr>
              <w:t>Nucleus Network</w:t>
            </w:r>
          </w:p>
        </w:tc>
      </w:tr>
      <w:tr w:rsidR="00464C7B" w:rsidTr="00F30C38">
        <w:tc>
          <w:tcPr>
            <w:tcW w:w="709" w:type="dxa"/>
            <w:vAlign w:val="center"/>
          </w:tcPr>
          <w:p w:rsidR="00464C7B" w:rsidRDefault="00464C7B" w:rsidP="00F30C38">
            <w:pPr>
              <w:jc w:val="center"/>
            </w:pPr>
            <w:r>
              <w:rPr>
                <w:rFonts w:hint="eastAsia"/>
              </w:rPr>
              <w:t>7</w:t>
            </w:r>
          </w:p>
        </w:tc>
        <w:tc>
          <w:tcPr>
            <w:tcW w:w="2268" w:type="dxa"/>
            <w:vAlign w:val="center"/>
          </w:tcPr>
          <w:p w:rsidR="00464C7B" w:rsidRDefault="00464C7B" w:rsidP="00F30C38">
            <w:pPr>
              <w:rPr>
                <w:rFonts w:ascii="Verdana" w:hAnsi="Verdana"/>
                <w:color w:val="000000"/>
                <w:sz w:val="13"/>
                <w:szCs w:val="13"/>
                <w:shd w:val="clear" w:color="auto" w:fill="FFFFFF"/>
              </w:rPr>
            </w:pPr>
            <w:r w:rsidRPr="000B5CFD">
              <w:rPr>
                <w:rFonts w:ascii="仿宋" w:eastAsia="仿宋" w:hAnsi="仿宋" w:cs="Times New Roman" w:hint="eastAsia"/>
                <w:bCs/>
                <w:sz w:val="24"/>
                <w:szCs w:val="24"/>
              </w:rPr>
              <w:t>澳大利亚癌症试验中的生物技术支持</w:t>
            </w:r>
          </w:p>
        </w:tc>
        <w:tc>
          <w:tcPr>
            <w:tcW w:w="4819" w:type="dxa"/>
          </w:tcPr>
          <w:p w:rsidR="00464C7B" w:rsidRPr="004A1CDC" w:rsidRDefault="00464C7B" w:rsidP="00F30C38">
            <w:r w:rsidRPr="00E82F83">
              <w:rPr>
                <w:rFonts w:ascii="Times New Roman" w:eastAsia="仿宋" w:hAnsi="Times New Roman" w:cs="Times New Roman"/>
                <w:sz w:val="20"/>
                <w:szCs w:val="20"/>
              </w:rPr>
              <w:t>Cancer Trials Australia</w:t>
            </w:r>
            <w:r w:rsidRPr="00E82F83">
              <w:rPr>
                <w:rFonts w:ascii="Times New Roman" w:eastAsia="仿宋" w:hAnsi="Times New Roman" w:cs="Times New Roman"/>
                <w:sz w:val="20"/>
                <w:szCs w:val="20"/>
              </w:rPr>
              <w:t>（</w:t>
            </w:r>
            <w:r w:rsidRPr="00E82F83">
              <w:rPr>
                <w:rFonts w:ascii="Times New Roman" w:eastAsia="仿宋" w:hAnsi="Times New Roman" w:cs="Times New Roman"/>
                <w:sz w:val="20"/>
                <w:szCs w:val="20"/>
              </w:rPr>
              <w:t>CTA</w:t>
            </w:r>
            <w:r w:rsidRPr="00E82F83">
              <w:rPr>
                <w:rFonts w:ascii="Times New Roman" w:eastAsia="仿宋" w:hAnsi="Times New Roman" w:cs="Times New Roman"/>
                <w:sz w:val="20"/>
                <w:szCs w:val="20"/>
              </w:rPr>
              <w:t>）</w:t>
            </w:r>
            <w:r w:rsidRPr="00C4120C">
              <w:rPr>
                <w:rFonts w:ascii="仿宋" w:eastAsia="仿宋" w:hAnsi="仿宋" w:cs="Times New Roman"/>
                <w:sz w:val="20"/>
                <w:szCs w:val="20"/>
              </w:rPr>
              <w:t>是一个基于成员的高效临床试验网络和站点服务组织，该组织已为其成员提供了超过20年的临床试验管理支持</w:t>
            </w:r>
            <w:r w:rsidRPr="00C4120C">
              <w:rPr>
                <w:rFonts w:ascii="仿宋" w:eastAsia="仿宋" w:hAnsi="仿宋" w:cs="Times New Roman" w:hint="eastAsia"/>
                <w:sz w:val="20"/>
                <w:szCs w:val="20"/>
              </w:rPr>
              <w:t>。</w:t>
            </w:r>
            <w:r w:rsidRPr="00C4120C">
              <w:rPr>
                <w:rFonts w:ascii="仿宋" w:eastAsia="仿宋" w:hAnsi="仿宋" w:cs="Times New Roman"/>
                <w:sz w:val="20"/>
                <w:szCs w:val="20"/>
              </w:rPr>
              <w:t>自1993年成立以来，CTA已管理了</w:t>
            </w:r>
            <w:r w:rsidRPr="00C4120C">
              <w:rPr>
                <w:rFonts w:ascii="仿宋" w:eastAsia="仿宋" w:hAnsi="仿宋" w:cs="Times New Roman" w:hint="eastAsia"/>
                <w:sz w:val="20"/>
                <w:szCs w:val="20"/>
              </w:rPr>
              <w:t>1500</w:t>
            </w:r>
            <w:r w:rsidRPr="00C4120C">
              <w:rPr>
                <w:rFonts w:ascii="仿宋" w:eastAsia="仿宋" w:hAnsi="仿宋" w:cs="Times New Roman"/>
                <w:sz w:val="20"/>
                <w:szCs w:val="20"/>
              </w:rPr>
              <w:t>多次肿瘤学临床试验的启动和管理，该试验由300多个不同组织赞助，</w:t>
            </w:r>
            <w:r w:rsidRPr="00C4120C">
              <w:rPr>
                <w:rFonts w:ascii="仿宋" w:eastAsia="仿宋" w:hAnsi="仿宋" w:cs="Times New Roman" w:hint="eastAsia"/>
                <w:sz w:val="20"/>
                <w:szCs w:val="20"/>
              </w:rPr>
              <w:t>共</w:t>
            </w:r>
            <w:r w:rsidRPr="00C4120C">
              <w:rPr>
                <w:rFonts w:ascii="仿宋" w:eastAsia="仿宋" w:hAnsi="仿宋" w:cs="Times New Roman"/>
                <w:sz w:val="20"/>
                <w:szCs w:val="20"/>
              </w:rPr>
              <w:t xml:space="preserve">招募了9,500多名患者。CTA负责从首次人体试验到大规模III期临床试验的肿瘤学临床试验。 </w:t>
            </w:r>
          </w:p>
        </w:tc>
        <w:tc>
          <w:tcPr>
            <w:tcW w:w="2494" w:type="dxa"/>
            <w:vAlign w:val="center"/>
          </w:tcPr>
          <w:p w:rsidR="00464C7B" w:rsidRPr="00E82F83" w:rsidRDefault="00464C7B" w:rsidP="00F30C38">
            <w:pPr>
              <w:rPr>
                <w:sz w:val="24"/>
                <w:szCs w:val="24"/>
              </w:rPr>
            </w:pPr>
            <w:r w:rsidRPr="00E82F83">
              <w:rPr>
                <w:rFonts w:ascii="Times New Roman" w:eastAsia="仿宋_GB2312" w:hAnsi="Times New Roman" w:cs="Times New Roman"/>
                <w:kern w:val="0"/>
                <w:sz w:val="24"/>
                <w:szCs w:val="24"/>
              </w:rPr>
              <w:t>Cancer Trials Australia</w:t>
            </w:r>
          </w:p>
        </w:tc>
      </w:tr>
      <w:tr w:rsidR="00464C7B" w:rsidTr="00F30C38">
        <w:tc>
          <w:tcPr>
            <w:tcW w:w="709" w:type="dxa"/>
            <w:vAlign w:val="center"/>
          </w:tcPr>
          <w:p w:rsidR="00464C7B" w:rsidRDefault="00464C7B" w:rsidP="00F30C38">
            <w:pPr>
              <w:jc w:val="center"/>
            </w:pPr>
            <w:r>
              <w:rPr>
                <w:rFonts w:hint="eastAsia"/>
              </w:rPr>
              <w:t>8</w:t>
            </w:r>
          </w:p>
        </w:tc>
        <w:tc>
          <w:tcPr>
            <w:tcW w:w="2268" w:type="dxa"/>
            <w:vAlign w:val="center"/>
          </w:tcPr>
          <w:p w:rsidR="00464C7B" w:rsidRPr="004A021F" w:rsidRDefault="00464C7B" w:rsidP="00F30C38">
            <w:pPr>
              <w:rPr>
                <w:rFonts w:ascii="Times New Roman" w:hAnsi="Times New Roman" w:cs="Times New Roman"/>
                <w:color w:val="000000"/>
                <w:sz w:val="13"/>
                <w:szCs w:val="13"/>
                <w:shd w:val="clear" w:color="auto" w:fill="FFFFFF"/>
              </w:rPr>
            </w:pPr>
            <w:r w:rsidRPr="000B5CFD">
              <w:rPr>
                <w:rFonts w:ascii="仿宋" w:eastAsia="仿宋" w:hAnsi="仿宋" w:cs="Times New Roman" w:hint="eastAsia"/>
                <w:bCs/>
                <w:sz w:val="24"/>
                <w:szCs w:val="24"/>
              </w:rPr>
              <w:t>疫苗、诊断和临床治疗的研发支持技术</w:t>
            </w:r>
          </w:p>
        </w:tc>
        <w:tc>
          <w:tcPr>
            <w:tcW w:w="4819" w:type="dxa"/>
          </w:tcPr>
          <w:p w:rsidR="00464C7B" w:rsidRPr="009D4EF0" w:rsidRDefault="00464C7B" w:rsidP="00F30C38">
            <w:pPr>
              <w:ind w:firstLineChars="200" w:firstLine="400"/>
              <w:rPr>
                <w:rFonts w:ascii="仿宋_GB2312" w:eastAsia="仿宋_GB2312" w:hAnsi="Arial" w:cs="Arial"/>
                <w:sz w:val="24"/>
                <w:szCs w:val="24"/>
              </w:rPr>
            </w:pPr>
            <w:r w:rsidRPr="004A021F">
              <w:rPr>
                <w:rFonts w:ascii="Times New Roman" w:eastAsia="仿宋" w:hAnsi="Times New Roman" w:cs="Times New Roman"/>
                <w:sz w:val="20"/>
                <w:szCs w:val="20"/>
              </w:rPr>
              <w:t>360biolabs</w:t>
            </w:r>
            <w:r w:rsidRPr="00C4120C">
              <w:rPr>
                <w:rFonts w:ascii="仿宋" w:eastAsia="仿宋" w:hAnsi="仿宋" w:cs="Times New Roman" w:hint="eastAsia"/>
                <w:sz w:val="20"/>
                <w:szCs w:val="20"/>
              </w:rPr>
              <w:t>是澳大利亚最全面的专业实验室服务组织，致力于治疗，疫苗和诊断技术的研发。 该组织可在多种治疗领域开发和开展药代动力学</w:t>
            </w:r>
            <w:r w:rsidRPr="00C4120C">
              <w:rPr>
                <w:rFonts w:ascii="仿宋" w:eastAsia="仿宋" w:hAnsi="仿宋" w:cs="Times New Roman"/>
                <w:sz w:val="20"/>
                <w:szCs w:val="20"/>
              </w:rPr>
              <w:t>（PK）</w:t>
            </w:r>
            <w:r w:rsidRPr="00C4120C">
              <w:rPr>
                <w:rFonts w:ascii="仿宋" w:eastAsia="仿宋" w:hAnsi="仿宋" w:cs="Times New Roman" w:hint="eastAsia"/>
                <w:sz w:val="20"/>
                <w:szCs w:val="20"/>
              </w:rPr>
              <w:t>和药效学（PD）分析，并提供广泛的支持服务，以确保临床前研究和临床试验的成功。</w:t>
            </w:r>
            <w:r w:rsidRPr="00E82F83">
              <w:rPr>
                <w:rFonts w:ascii="Times New Roman" w:eastAsia="仿宋" w:hAnsi="Times New Roman" w:cs="Times New Roman"/>
                <w:sz w:val="20"/>
                <w:szCs w:val="20"/>
              </w:rPr>
              <w:t>360biolab</w:t>
            </w:r>
            <w:r w:rsidRPr="00C4120C">
              <w:rPr>
                <w:rFonts w:ascii="仿宋" w:eastAsia="仿宋" w:hAnsi="仿宋" w:cs="Times New Roman" w:hint="eastAsia"/>
                <w:sz w:val="20"/>
                <w:szCs w:val="20"/>
              </w:rPr>
              <w:t>s有能力支持对新的和已建立的小分子，肽，蛋白质和生物制品进行生物分析。 其化学和生物学团队在开发，验证和进行敏感的定量测定以及代谢物鉴定和其他复杂分析方面拥有丰富的行业经验。</w:t>
            </w:r>
          </w:p>
        </w:tc>
        <w:tc>
          <w:tcPr>
            <w:tcW w:w="2494" w:type="dxa"/>
            <w:vAlign w:val="center"/>
          </w:tcPr>
          <w:p w:rsidR="00464C7B" w:rsidRPr="00E82F83" w:rsidRDefault="00464C7B" w:rsidP="00F30C38">
            <w:pPr>
              <w:rPr>
                <w:rFonts w:ascii="Verdana" w:hAnsi="Verdana"/>
                <w:color w:val="000000"/>
                <w:sz w:val="24"/>
                <w:szCs w:val="24"/>
                <w:shd w:val="clear" w:color="auto" w:fill="FFFFFF"/>
              </w:rPr>
            </w:pPr>
            <w:r w:rsidRPr="00E82F83">
              <w:rPr>
                <w:rFonts w:ascii="Times New Roman" w:eastAsia="仿宋_GB2312" w:hAnsi="Times New Roman" w:cs="Times New Roman"/>
                <w:kern w:val="0"/>
                <w:sz w:val="24"/>
                <w:szCs w:val="24"/>
              </w:rPr>
              <w:t>360biolabs</w:t>
            </w:r>
          </w:p>
        </w:tc>
      </w:tr>
      <w:tr w:rsidR="00464C7B" w:rsidTr="00F30C38">
        <w:tc>
          <w:tcPr>
            <w:tcW w:w="709" w:type="dxa"/>
            <w:vAlign w:val="center"/>
          </w:tcPr>
          <w:p w:rsidR="00464C7B" w:rsidRDefault="00464C7B" w:rsidP="00F30C38">
            <w:pPr>
              <w:jc w:val="center"/>
            </w:pPr>
            <w:r>
              <w:rPr>
                <w:rFonts w:hint="eastAsia"/>
              </w:rPr>
              <w:t>9</w:t>
            </w:r>
          </w:p>
        </w:tc>
        <w:tc>
          <w:tcPr>
            <w:tcW w:w="2268" w:type="dxa"/>
            <w:vAlign w:val="center"/>
          </w:tcPr>
          <w:p w:rsidR="00464C7B" w:rsidRPr="000B5CFD" w:rsidRDefault="00464C7B" w:rsidP="00F30C38">
            <w:pPr>
              <w:rPr>
                <w:rFonts w:ascii="仿宋" w:eastAsia="仿宋" w:hAnsi="仿宋" w:cs="Times New Roman"/>
                <w:bCs/>
                <w:sz w:val="24"/>
                <w:szCs w:val="24"/>
              </w:rPr>
            </w:pPr>
            <w:r>
              <w:rPr>
                <w:rFonts w:ascii="仿宋" w:eastAsia="仿宋" w:hAnsi="仿宋" w:cs="Times New Roman" w:hint="eastAsia"/>
                <w:bCs/>
                <w:sz w:val="24"/>
                <w:szCs w:val="24"/>
              </w:rPr>
              <w:t>澳洲养老项目</w:t>
            </w:r>
          </w:p>
        </w:tc>
        <w:tc>
          <w:tcPr>
            <w:tcW w:w="4819" w:type="dxa"/>
          </w:tcPr>
          <w:p w:rsidR="00464C7B" w:rsidRPr="007B597F" w:rsidRDefault="00464C7B" w:rsidP="00F30C38">
            <w:pPr>
              <w:ind w:firstLineChars="200" w:firstLine="400"/>
              <w:rPr>
                <w:rFonts w:ascii="Times New Roman" w:eastAsia="仿宋" w:hAnsi="Times New Roman" w:cs="Times New Roman"/>
                <w:sz w:val="20"/>
                <w:szCs w:val="20"/>
              </w:rPr>
            </w:pPr>
            <w:proofErr w:type="gramStart"/>
            <w:r>
              <w:rPr>
                <w:rFonts w:ascii="Times New Roman" w:eastAsia="仿宋" w:hAnsi="Times New Roman" w:cs="Times New Roman" w:hint="eastAsia"/>
                <w:sz w:val="20"/>
                <w:szCs w:val="20"/>
              </w:rPr>
              <w:t>皇澳颐养</w:t>
            </w:r>
            <w:proofErr w:type="gramEnd"/>
            <w:r>
              <w:rPr>
                <w:rFonts w:ascii="Times New Roman" w:eastAsia="仿宋" w:hAnsi="Times New Roman" w:cs="Times New Roman" w:hint="eastAsia"/>
                <w:sz w:val="20"/>
                <w:szCs w:val="20"/>
              </w:rPr>
              <w:t>（</w:t>
            </w:r>
            <w:r>
              <w:rPr>
                <w:rFonts w:ascii="Times New Roman" w:eastAsia="仿宋" w:hAnsi="Times New Roman" w:cs="Times New Roman" w:hint="eastAsia"/>
                <w:sz w:val="20"/>
                <w:szCs w:val="20"/>
              </w:rPr>
              <w:t>RDNS</w:t>
            </w:r>
            <w:r>
              <w:rPr>
                <w:rFonts w:ascii="Times New Roman" w:eastAsia="仿宋" w:hAnsi="Times New Roman" w:cs="Times New Roman" w:hint="eastAsia"/>
                <w:sz w:val="20"/>
                <w:szCs w:val="20"/>
              </w:rPr>
              <w:t>）</w:t>
            </w:r>
            <w:r>
              <w:rPr>
                <w:rFonts w:ascii="Times New Roman" w:eastAsia="仿宋" w:hAnsi="Times New Roman" w:cs="Times New Roman"/>
                <w:sz w:val="20"/>
                <w:szCs w:val="20"/>
              </w:rPr>
              <w:t>研究所致力于通过</w:t>
            </w:r>
            <w:r>
              <w:rPr>
                <w:rFonts w:ascii="Times New Roman" w:eastAsia="仿宋" w:hAnsi="Times New Roman" w:cs="Times New Roman" w:hint="eastAsia"/>
                <w:sz w:val="20"/>
                <w:szCs w:val="20"/>
              </w:rPr>
              <w:t>持续</w:t>
            </w:r>
            <w:r>
              <w:rPr>
                <w:rFonts w:ascii="Times New Roman" w:eastAsia="仿宋" w:hAnsi="Times New Roman" w:cs="Times New Roman"/>
                <w:sz w:val="20"/>
                <w:szCs w:val="20"/>
              </w:rPr>
              <w:t>严格的研究和调查来发展社区护理和医疗保健的最佳</w:t>
            </w:r>
            <w:r>
              <w:rPr>
                <w:rFonts w:ascii="Times New Roman" w:eastAsia="仿宋" w:hAnsi="Times New Roman" w:cs="Times New Roman" w:hint="eastAsia"/>
                <w:sz w:val="20"/>
                <w:szCs w:val="20"/>
              </w:rPr>
              <w:t>实践途径。</w:t>
            </w:r>
            <w:r>
              <w:rPr>
                <w:rFonts w:ascii="Times New Roman" w:eastAsia="仿宋" w:hAnsi="Times New Roman" w:cs="Times New Roman"/>
                <w:sz w:val="20"/>
                <w:szCs w:val="20"/>
              </w:rPr>
              <w:t>研究所处于老年护理创新的最前沿</w:t>
            </w:r>
            <w:r>
              <w:rPr>
                <w:rFonts w:ascii="Times New Roman" w:eastAsia="仿宋" w:hAnsi="Times New Roman" w:cs="Times New Roman" w:hint="eastAsia"/>
                <w:sz w:val="20"/>
                <w:szCs w:val="20"/>
              </w:rPr>
              <w:t>，</w:t>
            </w:r>
            <w:r w:rsidRPr="007B597F">
              <w:rPr>
                <w:rFonts w:ascii="Times New Roman" w:eastAsia="仿宋" w:hAnsi="Times New Roman" w:cs="Times New Roman"/>
                <w:sz w:val="20"/>
                <w:szCs w:val="20"/>
              </w:rPr>
              <w:t>其目标明确性体现在针对痴呆症护理，伤口护理和药物管理等核心挑战的研究计划中。</w:t>
            </w:r>
            <w:r>
              <w:rPr>
                <w:rFonts w:ascii="Times New Roman" w:eastAsia="仿宋" w:hAnsi="Times New Roman" w:cs="Times New Roman" w:hint="eastAsia"/>
                <w:sz w:val="20"/>
                <w:szCs w:val="20"/>
              </w:rPr>
              <w:t>今天，集团</w:t>
            </w:r>
            <w:r w:rsidRPr="007B597F">
              <w:rPr>
                <w:rFonts w:ascii="Times New Roman" w:eastAsia="仿宋" w:hAnsi="Times New Roman" w:cs="Times New Roman" w:hint="eastAsia"/>
                <w:sz w:val="20"/>
                <w:szCs w:val="20"/>
              </w:rPr>
              <w:t>可以利用</w:t>
            </w:r>
            <w:r w:rsidRPr="007B597F">
              <w:rPr>
                <w:rFonts w:ascii="Times New Roman" w:eastAsia="仿宋" w:hAnsi="Times New Roman" w:cs="Times New Roman"/>
                <w:sz w:val="20"/>
                <w:szCs w:val="20"/>
              </w:rPr>
              <w:t>2500</w:t>
            </w:r>
            <w:r w:rsidRPr="007B597F">
              <w:rPr>
                <w:rFonts w:ascii="Times New Roman" w:eastAsia="仿宋" w:hAnsi="Times New Roman" w:cs="Times New Roman"/>
                <w:sz w:val="20"/>
                <w:szCs w:val="20"/>
              </w:rPr>
              <w:t>多名护士和护理人员的经验，每天对</w:t>
            </w:r>
            <w:r w:rsidRPr="007B597F">
              <w:rPr>
                <w:rFonts w:ascii="Times New Roman" w:eastAsia="仿宋" w:hAnsi="Times New Roman" w:cs="Times New Roman"/>
                <w:sz w:val="20"/>
                <w:szCs w:val="20"/>
              </w:rPr>
              <w:t>15,000</w:t>
            </w:r>
            <w:r w:rsidRPr="007B597F">
              <w:rPr>
                <w:rFonts w:ascii="Times New Roman" w:eastAsia="仿宋" w:hAnsi="Times New Roman" w:cs="Times New Roman"/>
                <w:sz w:val="20"/>
                <w:szCs w:val="20"/>
              </w:rPr>
              <w:t>多名客</w:t>
            </w:r>
            <w:r>
              <w:rPr>
                <w:rFonts w:ascii="Times New Roman" w:eastAsia="仿宋" w:hAnsi="Times New Roman" w:cs="Times New Roman"/>
                <w:sz w:val="20"/>
                <w:szCs w:val="20"/>
              </w:rPr>
              <w:t>户进行观察和护理</w:t>
            </w:r>
            <w:r>
              <w:rPr>
                <w:rFonts w:ascii="Times New Roman" w:eastAsia="仿宋" w:hAnsi="Times New Roman" w:cs="Times New Roman" w:hint="eastAsia"/>
                <w:sz w:val="20"/>
                <w:szCs w:val="20"/>
              </w:rPr>
              <w:t>。</w:t>
            </w:r>
          </w:p>
          <w:p w:rsidR="00464C7B" w:rsidRPr="004A021F" w:rsidRDefault="00464C7B" w:rsidP="00F30C38">
            <w:pPr>
              <w:ind w:firstLineChars="200" w:firstLine="400"/>
              <w:rPr>
                <w:rFonts w:ascii="Times New Roman" w:eastAsia="仿宋" w:hAnsi="Times New Roman" w:cs="Times New Roman"/>
                <w:sz w:val="20"/>
                <w:szCs w:val="20"/>
              </w:rPr>
            </w:pPr>
            <w:r w:rsidRPr="007B597F">
              <w:rPr>
                <w:rFonts w:ascii="Times New Roman" w:eastAsia="仿宋" w:hAnsi="Times New Roman" w:cs="Times New Roman"/>
                <w:sz w:val="20"/>
                <w:szCs w:val="20"/>
              </w:rPr>
              <w:t>RDNS</w:t>
            </w:r>
            <w:r>
              <w:rPr>
                <w:rFonts w:ascii="Times New Roman" w:eastAsia="仿宋" w:hAnsi="Times New Roman" w:cs="Times New Roman"/>
                <w:sz w:val="20"/>
                <w:szCs w:val="20"/>
              </w:rPr>
              <w:t>研究所</w:t>
            </w:r>
            <w:r w:rsidRPr="007B597F">
              <w:rPr>
                <w:rFonts w:ascii="Times New Roman" w:eastAsia="仿宋" w:hAnsi="Times New Roman" w:cs="Times New Roman"/>
                <w:sz w:val="20"/>
                <w:szCs w:val="20"/>
              </w:rPr>
              <w:t>具有</w:t>
            </w:r>
            <w:r>
              <w:rPr>
                <w:rFonts w:ascii="Times New Roman" w:eastAsia="仿宋" w:hAnsi="Times New Roman" w:cs="Times New Roman" w:hint="eastAsia"/>
                <w:sz w:val="20"/>
                <w:szCs w:val="20"/>
              </w:rPr>
              <w:t>广阔的</w:t>
            </w:r>
            <w:r w:rsidRPr="007B597F">
              <w:rPr>
                <w:rFonts w:ascii="Times New Roman" w:eastAsia="仿宋" w:hAnsi="Times New Roman" w:cs="Times New Roman"/>
                <w:sz w:val="20"/>
                <w:szCs w:val="20"/>
              </w:rPr>
              <w:t>国际视野。</w:t>
            </w:r>
            <w:r>
              <w:rPr>
                <w:rFonts w:ascii="Times New Roman" w:eastAsia="仿宋" w:hAnsi="Times New Roman" w:cs="Times New Roman"/>
                <w:sz w:val="20"/>
                <w:szCs w:val="20"/>
              </w:rPr>
              <w:t>通过分享我</w:t>
            </w:r>
            <w:r>
              <w:rPr>
                <w:rFonts w:ascii="Times New Roman" w:eastAsia="仿宋" w:hAnsi="Times New Roman" w:cs="Times New Roman" w:hint="eastAsia"/>
                <w:sz w:val="20"/>
                <w:szCs w:val="20"/>
              </w:rPr>
              <w:t>方</w:t>
            </w:r>
            <w:r>
              <w:rPr>
                <w:rFonts w:ascii="Times New Roman" w:eastAsia="仿宋" w:hAnsi="Times New Roman" w:cs="Times New Roman"/>
                <w:sz w:val="20"/>
                <w:szCs w:val="20"/>
              </w:rPr>
              <w:t>的专业知识和研究结果，</w:t>
            </w:r>
            <w:r>
              <w:rPr>
                <w:rFonts w:ascii="Times New Roman" w:eastAsia="仿宋" w:hAnsi="Times New Roman" w:cs="Times New Roman" w:hint="eastAsia"/>
                <w:sz w:val="20"/>
                <w:szCs w:val="20"/>
              </w:rPr>
              <w:t>RDNS</w:t>
            </w:r>
            <w:r>
              <w:rPr>
                <w:rFonts w:ascii="Times New Roman" w:eastAsia="仿宋" w:hAnsi="Times New Roman" w:cs="Times New Roman"/>
                <w:sz w:val="20"/>
                <w:szCs w:val="20"/>
              </w:rPr>
              <w:t>致力于为社区</w:t>
            </w:r>
            <w:r w:rsidRPr="007B597F">
              <w:rPr>
                <w:rFonts w:ascii="Times New Roman" w:eastAsia="仿宋" w:hAnsi="Times New Roman" w:cs="Times New Roman"/>
                <w:sz w:val="20"/>
                <w:szCs w:val="20"/>
              </w:rPr>
              <w:t>的老年人提供优质护理</w:t>
            </w:r>
            <w:r>
              <w:rPr>
                <w:rFonts w:ascii="Times New Roman" w:eastAsia="仿宋" w:hAnsi="Times New Roman" w:cs="Times New Roman" w:hint="eastAsia"/>
                <w:sz w:val="20"/>
                <w:szCs w:val="20"/>
              </w:rPr>
              <w:t>服务。</w:t>
            </w:r>
          </w:p>
        </w:tc>
        <w:tc>
          <w:tcPr>
            <w:tcW w:w="2494" w:type="dxa"/>
            <w:vAlign w:val="center"/>
          </w:tcPr>
          <w:p w:rsidR="00464C7B" w:rsidRPr="00E82F83" w:rsidRDefault="00464C7B" w:rsidP="00F30C38">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R</w:t>
            </w:r>
            <w:r>
              <w:rPr>
                <w:rFonts w:ascii="Times New Roman" w:eastAsia="仿宋_GB2312" w:hAnsi="Times New Roman" w:cs="Times New Roman" w:hint="eastAsia"/>
                <w:kern w:val="0"/>
                <w:sz w:val="24"/>
                <w:szCs w:val="24"/>
              </w:rPr>
              <w:t>DNS</w:t>
            </w:r>
          </w:p>
        </w:tc>
      </w:tr>
    </w:tbl>
    <w:p w:rsidR="00464C7B" w:rsidRPr="00B739C7" w:rsidRDefault="00464C7B" w:rsidP="00464C7B"/>
    <w:p w:rsidR="003A5981" w:rsidRDefault="003A5981"/>
    <w:sectPr w:rsidR="003A5981" w:rsidSect="00DB2DFB">
      <w:pgSz w:w="11906" w:h="16838" w:code="9"/>
      <w:pgMar w:top="1077" w:right="1077" w:bottom="1077"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Microsoft Ya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7B"/>
    <w:rsid w:val="003A5981"/>
    <w:rsid w:val="00464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1802</Characters>
  <Application>Microsoft Office Word</Application>
  <DocSecurity>0</DocSecurity>
  <Lines>15</Lines>
  <Paragraphs>4</Paragraphs>
  <ScaleCrop>false</ScaleCrop>
  <Company>Microsoft</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2020-06-28T02:08:00Z</dcterms:created>
  <dcterms:modified xsi:type="dcterms:W3CDTF">2020-06-28T02:09:00Z</dcterms:modified>
</cp:coreProperties>
</file>