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90" w:rsidRDefault="00877EC6">
      <w:p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8F4D90" w:rsidRDefault="00877EC6">
      <w:pPr>
        <w:pStyle w:val="2"/>
        <w:spacing w:after="140"/>
        <w:jc w:val="center"/>
        <w:rPr>
          <w:rFonts w:ascii="Times New Roman" w:eastAsia="仿宋_GB2312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 w:val="0"/>
          <w:bCs w:val="0"/>
          <w:color w:val="000000" w:themeColor="text1"/>
          <w:sz w:val="44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b w:val="0"/>
          <w:bCs w:val="0"/>
          <w:color w:val="000000" w:themeColor="text1"/>
          <w:sz w:val="44"/>
          <w:szCs w:val="44"/>
        </w:rPr>
        <w:t>年新</w:t>
      </w:r>
      <w:r>
        <w:rPr>
          <w:rFonts w:ascii="Times New Roman" w:eastAsia="方正小标宋简体" w:hAnsi="Times New Roman" w:cs="Times New Roman"/>
          <w:b w:val="0"/>
          <w:bCs w:val="0"/>
          <w:color w:val="000000" w:themeColor="text1"/>
          <w:sz w:val="44"/>
          <w:szCs w:val="44"/>
        </w:rPr>
        <w:t>认定</w:t>
      </w:r>
      <w:r>
        <w:rPr>
          <w:rFonts w:ascii="Times New Roman" w:eastAsia="方正小标宋简体" w:hAnsi="Times New Roman" w:cs="Times New Roman" w:hint="eastAsia"/>
          <w:b w:val="0"/>
          <w:bCs w:val="0"/>
          <w:color w:val="000000" w:themeColor="text1"/>
          <w:sz w:val="44"/>
          <w:szCs w:val="44"/>
        </w:rPr>
        <w:t>省企业研究院名单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992"/>
        <w:gridCol w:w="1560"/>
      </w:tblGrid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研究院名称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浙江省东城电子智能柜技术企业研究院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杭州东城电子有限公司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上城区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浙江省罗莱迪思智慧照明企业研究院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杭州罗莱迪思科技股份有限公司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拱墅区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浙江省禾迈电力电子企业研究院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杭州禾迈电力电子股份有限公司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拱墅区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浙江省中美华东工业微生物企业研究院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杭州中美华东制药有限公司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拱墅区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浙江省大箴阿达数字生态平台企业研究院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大箴（杭州）科技有限公司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拱墅区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浙江省华东测绘与工程安全企业研究院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浙江华东测绘与工程安全技术有限公司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拱墅区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浙江省浮云数字产品技术企业研究院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杭州浮云网络科技有限公司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拱墅区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浙江省康纳材料企业研究院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康纳新型材料（杭州）有限公司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浙江省政采云数字采购企业研究院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政采云有限公司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西湖区</w:t>
            </w:r>
          </w:p>
        </w:tc>
      </w:tr>
      <w:tr w:rsidR="008F4D90">
        <w:trPr>
          <w:trHeight w:val="58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浙江省环科生态环境低碳与数字化综合治理企业研究院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浙江省环境科技有限公司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浙江省又拍云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视频云技术企业研究院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杭州又拍云科技有限公司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浙江省云深科技企业研究院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杭州云深科技有限公司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浙江省新华智云媒体人工智能企业研究院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新华智云科技有限公司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浙江省华睿科技工业互联视觉智能技术企业研究院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浙江华睿科技股份有限公司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31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浙江省中控智能系统与控制技术企业研究院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浙江中控研究院有限公司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浙江省趣链科技区块链技术企业研究院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杭州趣链科技有限公司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浙江省优行科技数智化出行平台企业研究院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杭州优行科技有限公司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浙江省时空道宇航天信息与通信企业研究院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浙江时空道宇科技有限公司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浙江省明度智云医药数字化智能技术企业研究院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明度智云（浙江）科技有限公司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8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浙江省普康生物新型疫苗企业研究院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浙江普康生物技术股份有限公司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浙江省优云新一代云计算与网络通信企业研究院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杭州优云科技有限公司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浙江省纳里健康医疗信息技术企业研究院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纳里健康科技有限公司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浙江省康奋威智能装备企业研究院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杭州康奋威科技股份有限公司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浙江省高新兴创联智慧交通企业研究院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高新兴创联科技有限公司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浙江省绿城农科检测技术企业研究院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绿城农科检测技术有限公司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浙江省泽天智慧环保企业研究院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杭州泽天春来科技有限公司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浙江省诚智天扬大数据与信息安全企业研究院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杭州诚智天扬科技有限公司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浙江省纳爱斯绿色生态清洁用品企业研究院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纳爱斯浙江科技有限公司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8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浙江省万朋教育大数据企业研究院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浙江万朋数智科技股份有限公司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浙江省速博雷尔智能传动设备企业研究院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杭州速博雷尔传动机械有限公司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</w:tr>
      <w:tr w:rsidR="008F4D90">
        <w:trPr>
          <w:trHeight w:val="31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浙江省数链科技智慧物流企业研究院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浙江数链科技有限公司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浙江省盛达铁塔智能制造企业研究院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浙江盛达铁塔有限公司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</w:tr>
      <w:tr w:rsidR="008F4D90">
        <w:trPr>
          <w:trHeight w:val="31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浙江省大地智能化装配式钢结构企业研究院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浙江大地钢结构有限公司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浙江省传化绿色功能化学品企业研究院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杭州传化精细化工有限公司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浙江省恒逸新型纤维材料企业研究院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浙江恒逸石化研究院有限公司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浙江省健培科技数字医疗企业研究院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杭州健培科技有限公司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</w:tr>
      <w:tr w:rsidR="008F4D90">
        <w:trPr>
          <w:trHeight w:val="31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基站和终端的测试技术及设备企业研究院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杭州永谐科技有限公司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浙江省万向钱潮绿色智能汽车底盘企业研究院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万向钱潮股份公司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浙江省三元电子功能复合材料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省级企业研究院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浙江三元电子科技有限公司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浙江省中纺新型功能型纺织面料企业研究院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杭州中纺织造有限公司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浙江省康成生态功能性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合成革企业研究院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浙江康成新材料科技有限公司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浙江省金舟热处理器装备企业研究院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杭州金舟科技股份有限公司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浙江省上拓环境高盐水减污降碳资源化处理企业研究院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杭州上拓环境科技股份有限公司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浙江省斯诺康智能通信设备系统集成企业研究院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杭州斯诺康技术有限公司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浙江省思看智能三维数字化检测企业研究院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杭州思看科技有限公司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浙江省叙简公共安全企业研究院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杭州叙简科技股份有限公司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浙江省保融科技财资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研究省级企业研究院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浙江保融科技股份有限公司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浙江省数澜大数据企业研究院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杭州数澜科技有限公司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浙江省兆华声学检测企业研究院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杭州兆华电子股份有限公司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8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浙江省制浆造纸绿色制造技术装备企业研究院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轻工业杭州机电设计研究院有限公司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浙江省力石数智文旅大数据企业研究院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浙江力石科技股份有限公司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浙江省瑞普基因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BT+AI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杭州瑞普基因科技有限公司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浙江省澳赛诺生物医药企业研究院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杭州澳赛诺生物科技有限公司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浙江省海正动物保健品企业研究院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浙江海正动物保健品有限公司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浙江省永特信息光纤制备技术企业研究院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杭州永特信息技术有限公司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浙江省海正生物创新生物药企业研究院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海正生物制药有限公司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浙江省永盛科技工业控制阀企业研究院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浙江永盛科技股份有限公司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富阳区</w:t>
            </w:r>
          </w:p>
        </w:tc>
      </w:tr>
      <w:tr w:rsidR="008F4D90">
        <w:trPr>
          <w:trHeight w:val="31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浙江省万晟药业毛发企业研究院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浙江万晟药业有限公司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浙江省三花汽零智能化热管理系统企业研究院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浙江三花汽车零部件有限公司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钱塘区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浙江省杭州电力设备企业研究院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杭州电力设备制造有限公司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钱塘区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浙江省奕安济世抗体药物企业研究院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杭州奕安济世生物药业有限公司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钱塘区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浙江省领业医药外用及经皮药物企业研究院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杭州领业医药科技有限公司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钱塘区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浙江省中欣晶圆大尺寸半导体硅晶圆企业研究院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杭州中欣晶圆半导体股份有限公司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钱塘区</w:t>
            </w:r>
          </w:p>
        </w:tc>
      </w:tr>
      <w:tr w:rsidR="008F4D90">
        <w:trPr>
          <w:trHeight w:val="578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浙江省聚合顺聚酰胺新材料企业研究院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杭州聚合顺新材料股份有限公司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钱塘区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浙江省朱养心药物开发企业研究院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杭州朱养心药业有限公司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钱塘区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浙江省至信汽车零部件智能制造企业研究院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杭州至信汽车配件制造有限公司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钱塘区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浙江省慧翔半导体设备企业研究院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杭州慧翔电液技术开发有限公司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浙江省飞仕得功率半导体智能驱动及可靠性企业研究院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杭州飞仕得科技有限公司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浙江省中翰盛泰体外诊断技术企业研究院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中翰盛泰生物技术股份有限公司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浙江省博创智能注塑装备企业研究院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浙江博创机械有限公司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浙江省锐键马斯汀运动医学高新技术企业研究院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杭州锐健马斯汀医疗器材有限公司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浙江省兴源环保设备省级企业研究院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杭州兴源环保设备有限公司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浙江省倍仕得连接器与配线器材企业研究院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倍仕得电气科技（杭州）股份有限公司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浙江省戴乐功能性搪瓷制品企业研究院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杭州戴乐搪瓷有限公司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浙江省琪瑶软体家具功能性新材料企业研究院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杭州琪瑶纺织有限公司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</w:tr>
      <w:tr w:rsidR="008F4D90">
        <w:trPr>
          <w:trHeight w:val="31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浙江省华临绿建新型建筑工业化企业研究院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华临绿建科技股份有限公司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浙江省联达绞盘企业研究院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宁波联达绞盘有限公司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浙江省三生生物动物保健企业研究院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宁波三生生物科技股份有限公司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浙江省福特新能源继电器企业研究院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宁波福特继电器有限公司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浙江省东海智慧水务技术企业研究院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宁波东海集团有限公司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浙江省尤利卡太阳能电池组件企业研究院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宁波尤利卡太阳能股份有限公司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浙江省杰克龙精工民用阀门企业研究院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宁波杰克龙精工有限公司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浙江省德业变频光伏储能逆变器企业研究院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宁波德业变频技术有限公司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浙江省臻至精密铝压铸模具企业研究院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宁波臻至机械模具有限公司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浙江省亚洲浆印刷与包装新材料企业研究院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宁波亚洲浆纸业有限公司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浙江省银球科技高精长寿命一体化轴承企业研究院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宁波银球科技股份有限公司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浙江省昌亚新材料可降解餐饮具企业研究院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宁波昌亚新材料科技股份有限公司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浙江省招宝稀土磁性材料企业研究院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宁波招宝磁业有限公司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浙江省海达塑料装备企业研究院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宁波市海达塑料机械有限公司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浙江省金海工控电磁继电器企业研究院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宁波金海电子有限公司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浙江省微萌蔬菜育种企业研究院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宁波微萌种业有限公司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鄞州区</w:t>
            </w:r>
          </w:p>
        </w:tc>
      </w:tr>
      <w:tr w:rsidR="008F4D90">
        <w:trPr>
          <w:trHeight w:val="58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浙江省中车电车新能源商用车企业研究院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浙江中车电车有限公司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鄞州区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浙江省伏尔肯特种陶瓷企业研究院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宁波伏尔肯科技股份有限公司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鄞州区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浙江省卓尔博电机部件企业研究院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卓尔博（宁波）精密机电股份有限公司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鄞州区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浙江省东源专业音响企业研究院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宁波东源音响器材有限公司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鄞州区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浙江省华翔汽车饰件企业研究院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宁波华翔汽车饰件有限公司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浙江省易锻精密压力机企业研究院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浙江易锻精密机械有限公司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浙江省华众汽车零部件企业研究院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宁波华众塑料制品有限公司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浙江省润禾材料绿色纺织化学品企业研究院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宁波润禾高新材料科技股份有限公司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</w:tr>
      <w:tr w:rsidR="008F4D90">
        <w:trPr>
          <w:trHeight w:val="58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浙江省易通特种基础工程企业研究院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浙江易通特种基础工程股份有限公司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保税区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浙江省舜宇红外光学技术企业研究院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宁波舜宇红外技术有限公司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</w:tr>
      <w:tr w:rsidR="008F4D90">
        <w:trPr>
          <w:trHeight w:val="58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浙江省神通汽车零部件轻量化企业研究院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神通科技集团股份有限公司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</w:tr>
      <w:tr w:rsidR="008F4D90">
        <w:trPr>
          <w:trHeight w:val="567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浙江省宝工工业取暖装备企业研究院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宁波宝工电器有限公司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浙江省长荣酿造食品发酵仿生系统智能装备企业研究院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宁波长荣酿造设备有限公司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浙江省力品格高性能气弹簧企业研究院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宁波力品格工业机械有限公司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浙江省利安高分子材料高性能化改性应用企业研究院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宁波利安科技股份有限公司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浙江省秉航智能健康按摩器械企业研究院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宁波秉航科技集团有限公司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浙江省爱信诺航信信息安全企业研究院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宁波爱信诺航天信息有限公司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宁波高新区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浙江省坤德智慧岩土技术企业研究院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浙江坤德创新岩土工程有限公司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宁波高新区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浙江省全盛智能电表结构组件企业研究院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宁波市全盛壳体有限公司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宁波杭州湾新区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浙江省智慧岩土和时空信息技术企业研究院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温州市勘察测绘研究院有限公司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鹿城区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浙江省唐工阀门集团超低温阀门企业研究院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唐工阀门集团有限公司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龙湾区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浙江省瑞浦兰钧能源锂离子电池及系统企业研究院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瑞浦兰钧能源股份有限公司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龙湾区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浙江省聚创电气数字化技术企业研究院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浙江聚创智能科技股份有限公司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瓯海区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浙江省硕而博智慧型家用器具企业研究院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浙江硕而博科技股份有限公司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瓯海区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浙江省立信阀门特种阀门省级企业研究院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立信阀门集团有限公司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浙江省佳龙工业开关电器智造企业研究院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浙江佳龙电子有限公司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浙江省伯特利智慧能源工程企业研究院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浙江伯特利科技股份有限公司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浙江省新德宝纸容器装备企业研究院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浙江新德宝机械有限公司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浙江省奔一新能源电器企业研究院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浙江奔一电气有限公司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浙江省益能汽车连接器企业研究院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温州益能电器有限公司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浙江省力夫微压精密传感技术企业研究院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浙江力夫自控技术股份有限公司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浙江省海通通讯精密电子元件企业研究院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浙江海通通讯电子股份有限公司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温州经济开发区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浙江省蓝天加油加气成套设备企业研究院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温州蓝天能源科技股份有限公司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温州经济开发区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浙江省脉通医疗微创植介入医疗器械关键原材料和部件企业研究院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脉通医疗科技（嘉兴）有限公司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浙江省赛思时频科学企业研究院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浙江赛思电子科技有限公司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浙江省迈兴途智能装备企业研究院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浙江迈兴途智能装备股份有限公司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浙江省新恒泰绿色低碳新材料企业研究院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浙江新恒泰新材料有限公司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浙江省允英分子医学诊断企业研究院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嘉兴允英医学检验有限公司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浙江省威凯电器科学企业研究院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嘉兴威凯检测技术有限公司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浙江省德康高性能医疗器械企业研究院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浙江德康医疗器械有限公司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</w:tr>
      <w:tr w:rsidR="008F4D90">
        <w:trPr>
          <w:trHeight w:val="31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浙江省德沃康智能家居系统企业研究院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德沃康科技集团有限公司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浙江省三思光电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显示系统及应用技术企业研究院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嘉善三思光电技术有限公司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浙江省华显光电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OLED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发光材料企业研究院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浙江华显光电科技有限公司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浙江省艾能聚高性能光伏电池企业研究院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浙江艾能聚光伏科技股份有限公司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浙江省通达磁业高频低功耗材料企业研究院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浙江通达磁业有限公司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浙江省红狮宝盛航空结构件企业研究院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海宁红狮宝盛科技有限公司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浙江省钱江生化绿色生物农药创制企业研究院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浙江钱江生物化学股份有限公司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浙江省兴三星门窗金属构件智能制造企业研究院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兴三星云科技有限公司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</w:tr>
      <w:tr w:rsidR="008F4D90">
        <w:trPr>
          <w:trHeight w:val="756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浙江省宝捷高精密电机铁芯企业研究院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浙江宝捷机电有限公司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浙江省马尔高效节能风机电机企业研究院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浙江马尔风机有限公司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浙江省众立热塑性弹性体企业研究院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浙江众立合成材料科技股份有限公司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浙江省宝绿特环保技术装备企业研究院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浙江宝绿特环保技术工程有限公司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浙江省博格隆生物纯化工程企业研究院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博格隆（浙江）生物技术有限公司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浙江省石化丙烯酸及酯企业研究院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平湖石化有限责任公司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浙江省生迪新光源制造技术企业研究院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生迪光电科技股份有限公司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浙江省中辉裘革企业研究院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浙江中辉裘革科技有限公司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浙江省五源表面处理材料企业研究院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浙江五源科技股份有限公司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浙江省嘉澳绿色生物基环保增塑剂企业研究院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浙江嘉澳环保科技股份有限公司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浙江省华丽达绿色包装新材企业研究院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浙江华丽达包装有限公司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浙江省恩碧技精密滑环技术企业研究院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171A1D"/>
                <w:kern w:val="0"/>
                <w:sz w:val="22"/>
                <w:szCs w:val="22"/>
                <w:shd w:val="clear" w:color="auto" w:fill="FFFFFF"/>
                <w:lang w:bidi="ar"/>
              </w:rPr>
              <w:t>浙江恩碧技创新科技有限公司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嘉兴经济开发区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浙江省巨力新能源汽车驱动电机自动化装备企业研究院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巨力自动化设备（浙江）有限公司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嘉兴经济开发区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浙江省佳雪微特特种电机企业研究院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浙江佳雪微特电机有限公司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浙江省中铁十六局三公司交通工程施工企业研究院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中铁十六局集团第三工程有限公司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浙江省大东吴建筑节能技术企业研究院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浙江大东吴集团建设有限公司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浙江省九州云开源云计算服务企业研究院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浙江九州云信息科技有限公司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浙江省盛特隆特殊钢新材料企业研究院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湖州盛特隆金属制品有限公司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浙江省苏迅绿色环保智能型电梯与扶梯企业研究院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苏迅电梯有限公司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浙江省水墨江南环保美学地板企业研究院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浙江水墨江南新材料科技有限公司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</w:tr>
      <w:tr w:rsidR="008F4D90">
        <w:trPr>
          <w:trHeight w:val="31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浙江省圣博康新药企业研究院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浙江圣博康药业有限公司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浙江省千寻位置时空智能企业研究院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千寻位置网络（浙江）有限公司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浙江省新城环保生活垃圾综合处置及资源再利用企业研究院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长兴新城环保有限公司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浙江省红旗自动化仪表企业研究院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红旗仪表（长兴）有限公司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浙江省均胜汽车安全系统企业研究院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均胜汽车安全系统（湖州）有限公司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</w:tr>
      <w:tr w:rsidR="008F4D90">
        <w:trPr>
          <w:trHeight w:val="57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浙江省冠炯机电绣花机装置企业研究院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湖州冠炯机电科技有限公司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浙江省富特新能源汽车电源企业研究院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浙江富特科技股份有限公司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浙江省华逸聚酯新材料企业研究院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浙江安吉华逸化纤有限公司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浙江省绿金废旧铅酸电池绿色高效回收企业研究院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安吉绿金金属材料有限公司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浙江省耕盛堂竹笋保鲜及全笋利用企业研究院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浙江耕盛堂生态农业有限公司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浙江省海龙现代绿色办公家具企业研究院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安吉海龙家具有限公司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浙江省昌海制药原料药绿色生物制造技术企业研究院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浙江昌海制药有限公司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越城区</w:t>
            </w:r>
          </w:p>
        </w:tc>
      </w:tr>
      <w:tr w:rsidR="008F4D90">
        <w:trPr>
          <w:trHeight w:val="31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浙江省中芯集成微机电传感及功率器件企业研究院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绍兴中芯集成电路制造股份有限公司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越城区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浙江省百翔智能手套机企业研究院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浙江百翔科技股份有限公司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越城区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浙江省岭峰气枪企业研究院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绍兴市岭峰气枪制造有限公司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越城区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浙江省越新绿色印染企业研究院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浙江越新印染有限公司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柯桥区</w:t>
            </w:r>
          </w:p>
        </w:tc>
      </w:tr>
      <w:tr w:rsidR="008F4D90">
        <w:trPr>
          <w:trHeight w:val="90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浙江省元集新型复合材料企业研究院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浙江元集新材料有限公司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</w:tr>
      <w:tr w:rsidR="008F4D90">
        <w:trPr>
          <w:trHeight w:val="58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浙江省乐业绣机智造企业研究院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诸暨市乐业机电有限公司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浙江省镨美科智能电脑刺绣机企业研究院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浙江镨美科智能刺绣设备有限公司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</w:tr>
      <w:tr w:rsidR="008F4D90">
        <w:trPr>
          <w:trHeight w:val="31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浙江省创格汽车关键零部件企业研究院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浙江创格科技股份有限公司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浙江省金昌高性能弹簧企业研究院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浙江金昌弹簧有限公司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</w:tr>
      <w:tr w:rsidR="008F4D90">
        <w:trPr>
          <w:trHeight w:val="459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浙江省格派镍钴新材料企业研究院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浙江格派钴业新材料有限公司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上虞区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浙江省新和成新材料企业研究院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浙江新和成特种材料有限公司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上虞区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浙江省绿科安特种聚醚企业研究院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浙江绿科安化学有限公司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上虞区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浙江省希多高效节能电机技术企业研究院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绍兴市希多电机有限公司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浙江省湃肽生物多肽合成技术企业研究院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浙江湃肽生物股份有限公司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浙江省双宏染料企业研究院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金华双宏化工有限公司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婺城区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浙江省精研车载电动工具企业研究院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金华精研机电股份有限公司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金东区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浙江省蓝也环保高性能薄膜企业研究院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浙江蓝也科技股份有限公司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金东区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浙江省铂动高性能铝合金轮毂企业研究院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浙江铂动工贸有限公司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浙江省新天高精度高强度锥齿轮企业研究院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金华新天齿轮有限公司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浙江省阿波罗两轮越野摩托车企业研究院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浙江阿波罗运动科技股份有限公司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浙江省红狮环保固废协同处置及资源化利用企业研究院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浙江红狮环保股份有限公司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浙江省博远轻量化环保再生铝合金制备工艺企业研究院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兰溪市博远金属有限公司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浙江省众鑫环保可降解技术企业研究院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浙江众鑫环保科技集团股份有限公司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浙江省奇锦高性能面料企业研究院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浙江奇锦纺织有限公司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浙江省盘毂动力电驱动系统企业研究院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浙江盘毂动力科技有限公司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浙江省顶峰磁材磁性材料企业研究院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东阳市顶峰磁材有限公司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东阳市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浙江省飞哲智能小家电企业研究院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浙江飞哲工贸有限公司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浙江省立久佳智能运动器材企业研究院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浙江立久佳运动器材有限公司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浙江省大成多功能休闲用品企业研究院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永康市大成工贸有限公司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浙江省康恩贝药物研发企业研究院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浙江金华康恩贝生物制药有限公司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金华开发区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浙江省先导精密半导体装备制造企业研究院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浙江先导精密机械有限公司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</w:tr>
      <w:tr w:rsidR="008F4D90">
        <w:trPr>
          <w:trHeight w:val="31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浙江省锦华酮肟硅新材料企业研究院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浙江锦华新材料股份有限公司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衢州智造新城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浙江省博弈轻量化汽车发动机零部件企业研究院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浙江博弈科技股份有限公司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椒江区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浙江省普济药物企业研究院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普济生物科技（台州）有限公司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椒江区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浙江省星威家居新材料企业研究院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星威国际家居股份有限公司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浙江省腾达建设工程技术创新企业研究院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腾达建设集团股份有限公司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路桥区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浙江省汇丰汽车转向系统企业研究院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浙江汇丰汽车零部件股份有限公司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浙江省苏尔达智能水龙头企业研究院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浙江苏尔达洁具有限公司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浙江省台州巨力精密化液压工具企业研究院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台州巨力工具股份有限公司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浙江省三港电器智能化起重设备企业研究院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浙江三港起重电器有限公司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浙江省扬戈科技起重机控制系统装备企业研究院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扬戈科技股份有限公司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浙江省飞利富智能插座企业研究院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飞利富科技股份有限公司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浙江省得乐康米糠生物综合利用企业研究院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浙江得乐康食品股份有限公司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浙江省大江实业新能源智能工具企业研究院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台州市大江实业有限公司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温岭市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浙江省进发轴承高性能精密轴承企业研究院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进发轴承有限公司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温岭市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浙江省锐安硬质合金切削刀具企业研究院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台州市锐安硬质合金工具有限公司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温岭市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浙江省劳士顿焊接装备企业研究院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浙江劳士顿科技股份有限公司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温岭市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浙江省铭振智能风机系统企业研究院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浙江铭振电子股份有限公司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温岭市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浙江省盛源气源装备企业研究院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浙江盛源空压机制造有限公司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温岭市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浙江省伟星功能性塑料管道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临海伟星新型建材有限公司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浙江省瑞博制药连续流合成技术企业研究院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浙江瑞博制药有限公司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浙江省森川家具新材料技术企业研究院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浙江森川家具有限公司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台州湾新区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浙江省九谊汽车发动机关键零部件企业研究院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台州九谊机电有限公司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台州湾新区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浙江省百朗士高性能橡胶制品企业研究院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浙江百朗士新材料有限公司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台州湾新区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浙江省方远低碳建材企业研究院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浙江方远新材料股份有限公司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台州湾新区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浙江省瓯宝智能安防产品企业研究院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瓯宝安防科技股份有限公司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莲都区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浙江省钢一控股不锈钢管企业研究院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钢一控股集团有限公司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</w:tr>
      <w:tr w:rsidR="008F4D90">
        <w:trPr>
          <w:trHeight w:val="414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浙江省嘉宏运动智能轻量锂电自行车企业研究院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浙江嘉宏运动器材有限公司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浙江省精瑞高性能合金材料企业研究院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浙江精瑞工模具有限公司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浙江省肖特药品包装企业研究院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肖特药品包装（浙江）有限公司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浙江省永上高品质特材管企业研究院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浙江永上特材有限公司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浙江省华威高端金属门企业研究院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浙江华威门业有限公司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浙江省兴昌轴承高精度轴承钢球企业研究院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浙江兴昌轴承有限公司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浙江省昶丰生态型合成革企业研究院</w:t>
            </w:r>
          </w:p>
        </w:tc>
        <w:tc>
          <w:tcPr>
            <w:tcW w:w="269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浙江昶丰新材料有限公司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56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丽水经济技术开发区</w:t>
            </w:r>
          </w:p>
        </w:tc>
      </w:tr>
      <w:tr w:rsidR="008F4D90">
        <w:trPr>
          <w:trHeight w:val="555"/>
          <w:jc w:val="center"/>
        </w:trPr>
        <w:tc>
          <w:tcPr>
            <w:tcW w:w="704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3544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浙江省百事宝智能电器企业研究院</w:t>
            </w:r>
          </w:p>
        </w:tc>
        <w:tc>
          <w:tcPr>
            <w:tcW w:w="2693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浙江百事宝电器股份有限公司</w:t>
            </w:r>
          </w:p>
        </w:tc>
        <w:tc>
          <w:tcPr>
            <w:tcW w:w="992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560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4D90" w:rsidRDefault="00877EC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丽水经济技术开发区</w:t>
            </w:r>
          </w:p>
        </w:tc>
      </w:tr>
    </w:tbl>
    <w:p w:rsidR="008F4D90" w:rsidRDefault="008F4D90"/>
    <w:sectPr w:rsidR="008F4D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C6" w:rsidRDefault="00877EC6" w:rsidP="00630CF8">
      <w:r>
        <w:separator/>
      </w:r>
    </w:p>
  </w:endnote>
  <w:endnote w:type="continuationSeparator" w:id="0">
    <w:p w:rsidR="00877EC6" w:rsidRDefault="00877EC6" w:rsidP="0063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����">
    <w:altName w:val="汉仪新人文宋简"/>
    <w:charset w:val="00"/>
    <w:family w:val="auto"/>
    <w:pitch w:val="default"/>
    <w:sig w:usb0="00000000" w:usb1="00000000" w:usb2="00000000" w:usb3="00000000" w:csb0="00040001" w:csb1="00000000"/>
  </w:font>
  <w:font w:name="Verdana">
    <w:altName w:val="Ubuntu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C6" w:rsidRDefault="00877EC6" w:rsidP="00630CF8">
      <w:r>
        <w:separator/>
      </w:r>
    </w:p>
  </w:footnote>
  <w:footnote w:type="continuationSeparator" w:id="0">
    <w:p w:rsidR="00877EC6" w:rsidRDefault="00877EC6" w:rsidP="0063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ZTNkOWYyMjk2NjExZDNiNDdkOTkyOGY4OTczODkifQ=="/>
  </w:docVars>
  <w:rsids>
    <w:rsidRoot w:val="00846B2E"/>
    <w:rsid w:val="000E31CB"/>
    <w:rsid w:val="001D0B4D"/>
    <w:rsid w:val="00517639"/>
    <w:rsid w:val="00630CF8"/>
    <w:rsid w:val="007C57D9"/>
    <w:rsid w:val="00846B2E"/>
    <w:rsid w:val="00877EC6"/>
    <w:rsid w:val="008F4D90"/>
    <w:rsid w:val="00927C73"/>
    <w:rsid w:val="00BB7C4D"/>
    <w:rsid w:val="5C5D1F6F"/>
    <w:rsid w:val="5DFFB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uiPriority w:val="99"/>
    <w:qFormat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character" w:styleId="ad">
    <w:name w:val="Hyperlink"/>
    <w:basedOn w:val="a0"/>
    <w:uiPriority w:val="99"/>
    <w:qFormat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character" w:styleId="ae">
    <w:name w:val="annotation reference"/>
    <w:basedOn w:val="a0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0">
    <w:name w:val="日期 Char"/>
    <w:basedOn w:val="a0"/>
    <w:link w:val="a4"/>
    <w:qFormat/>
    <w:rPr>
      <w:szCs w:val="24"/>
    </w:rPr>
  </w:style>
  <w:style w:type="character" w:customStyle="1" w:styleId="Char1">
    <w:name w:val="批注框文本 Char"/>
    <w:basedOn w:val="a0"/>
    <w:link w:val="a5"/>
    <w:qFormat/>
    <w:rPr>
      <w:sz w:val="18"/>
      <w:szCs w:val="18"/>
    </w:rPr>
  </w:style>
  <w:style w:type="character" w:customStyle="1" w:styleId="Char4">
    <w:name w:val="批注主题 Char"/>
    <w:basedOn w:val="Char"/>
    <w:link w:val="a9"/>
    <w:qFormat/>
    <w:rPr>
      <w:b/>
      <w:bCs/>
      <w:szCs w:val="24"/>
    </w:rPr>
  </w:style>
  <w:style w:type="character" w:customStyle="1" w:styleId="bsharetext">
    <w:name w:val="bsharetext"/>
    <w:basedOn w:val="a0"/>
    <w:qFormat/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style01">
    <w:name w:val="fontstyle01"/>
    <w:basedOn w:val="a0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21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uiPriority w:val="99"/>
    <w:qFormat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character" w:styleId="ad">
    <w:name w:val="Hyperlink"/>
    <w:basedOn w:val="a0"/>
    <w:uiPriority w:val="99"/>
    <w:qFormat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character" w:styleId="ae">
    <w:name w:val="annotation reference"/>
    <w:basedOn w:val="a0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0">
    <w:name w:val="日期 Char"/>
    <w:basedOn w:val="a0"/>
    <w:link w:val="a4"/>
    <w:qFormat/>
    <w:rPr>
      <w:szCs w:val="24"/>
    </w:rPr>
  </w:style>
  <w:style w:type="character" w:customStyle="1" w:styleId="Char1">
    <w:name w:val="批注框文本 Char"/>
    <w:basedOn w:val="a0"/>
    <w:link w:val="a5"/>
    <w:qFormat/>
    <w:rPr>
      <w:sz w:val="18"/>
      <w:szCs w:val="18"/>
    </w:rPr>
  </w:style>
  <w:style w:type="character" w:customStyle="1" w:styleId="Char4">
    <w:name w:val="批注主题 Char"/>
    <w:basedOn w:val="Char"/>
    <w:link w:val="a9"/>
    <w:qFormat/>
    <w:rPr>
      <w:b/>
      <w:bCs/>
      <w:szCs w:val="24"/>
    </w:rPr>
  </w:style>
  <w:style w:type="character" w:customStyle="1" w:styleId="bsharetext">
    <w:name w:val="bsharetext"/>
    <w:basedOn w:val="a0"/>
    <w:qFormat/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style01">
    <w:name w:val="fontstyle01"/>
    <w:basedOn w:val="a0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21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1565</Words>
  <Characters>8926</Characters>
  <Application>Microsoft Office Word</Application>
  <DocSecurity>0</DocSecurity>
  <Lines>74</Lines>
  <Paragraphs>20</Paragraphs>
  <ScaleCrop>false</ScaleCrop>
  <Company>微软中国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李德环</cp:lastModifiedBy>
  <cp:revision>2</cp:revision>
  <dcterms:created xsi:type="dcterms:W3CDTF">2023-01-12T01:48:00Z</dcterms:created>
  <dcterms:modified xsi:type="dcterms:W3CDTF">2023-01-12T01:48:00Z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AD285C3254DB4E299D1A83B28BBACCA1</vt:lpwstr>
  </property>
</Properties>
</file>