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55" w:rsidRDefault="005E1055" w:rsidP="005E1055">
      <w:pPr>
        <w:rPr>
          <w:rFonts w:eastAsia="黑体" w:hint="eastAsia"/>
          <w:sz w:val="32"/>
          <w:szCs w:val="32"/>
        </w:rPr>
      </w:pPr>
      <w:r>
        <w:rPr>
          <w:rFonts w:eastAsia="黑体"/>
          <w:sz w:val="32"/>
          <w:szCs w:val="32"/>
        </w:rPr>
        <w:t>附件</w:t>
      </w:r>
      <w:r>
        <w:rPr>
          <w:rFonts w:eastAsia="黑体"/>
          <w:sz w:val="32"/>
          <w:szCs w:val="32"/>
          <w:lang/>
        </w:rPr>
        <w:t>3</w:t>
      </w:r>
    </w:p>
    <w:p w:rsidR="005E1055" w:rsidRDefault="005E1055" w:rsidP="005E1055">
      <w:pPr>
        <w:rPr>
          <w:rFonts w:eastAsia="黑体" w:hint="eastAsia"/>
          <w:sz w:val="32"/>
          <w:szCs w:val="32"/>
        </w:rPr>
      </w:pPr>
    </w:p>
    <w:p w:rsidR="005E1055" w:rsidRDefault="005E1055" w:rsidP="005E1055">
      <w:pPr>
        <w:spacing w:line="700" w:lineRule="exact"/>
        <w:jc w:val="center"/>
        <w:rPr>
          <w:rFonts w:eastAsia="方正小标宋简体" w:hint="eastAsia"/>
          <w:sz w:val="44"/>
          <w:szCs w:val="44"/>
        </w:rPr>
      </w:pPr>
      <w:bookmarkStart w:id="0" w:name="_GoBack"/>
      <w:r>
        <w:rPr>
          <w:rFonts w:eastAsia="方正小标宋简体"/>
          <w:sz w:val="44"/>
          <w:szCs w:val="44"/>
        </w:rPr>
        <w:t>废止或失效的行政规范性文件目录</w:t>
      </w:r>
    </w:p>
    <w:bookmarkEnd w:id="0"/>
    <w:p w:rsidR="005E1055" w:rsidRDefault="005E1055" w:rsidP="005E1055">
      <w:pPr>
        <w:jc w:val="center"/>
        <w:rPr>
          <w:rFonts w:eastAsia="方正小标宋简体"/>
          <w:sz w:val="44"/>
          <w:szCs w:val="44"/>
        </w:rPr>
      </w:pPr>
    </w:p>
    <w:tbl>
      <w:tblPr>
        <w:tblW w:w="9095" w:type="dxa"/>
        <w:tblInd w:w="91" w:type="dxa"/>
        <w:tblLook w:val="0000" w:firstRow="0" w:lastRow="0" w:firstColumn="0" w:lastColumn="0" w:noHBand="0" w:noVBand="0"/>
      </w:tblPr>
      <w:tblGrid>
        <w:gridCol w:w="935"/>
        <w:gridCol w:w="5285"/>
        <w:gridCol w:w="2875"/>
      </w:tblGrid>
      <w:tr w:rsidR="005E1055" w:rsidTr="00786951">
        <w:trPr>
          <w:trHeight w:val="499"/>
          <w:tblHeader/>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rFonts w:eastAsia="黑体"/>
                <w:color w:val="000000"/>
                <w:sz w:val="24"/>
              </w:rPr>
            </w:pPr>
            <w:r>
              <w:rPr>
                <w:rFonts w:eastAsia="黑体"/>
                <w:color w:val="000000"/>
                <w:kern w:val="0"/>
                <w:sz w:val="24"/>
                <w:lang w:bidi="ar"/>
              </w:rPr>
              <w:t>序号</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rFonts w:eastAsia="黑体"/>
                <w:color w:val="000000"/>
                <w:sz w:val="24"/>
              </w:rPr>
            </w:pPr>
            <w:r>
              <w:rPr>
                <w:rFonts w:eastAsia="黑体"/>
                <w:color w:val="000000"/>
                <w:kern w:val="0"/>
                <w:sz w:val="24"/>
                <w:lang w:bidi="ar"/>
              </w:rPr>
              <w:t>文件名称</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rFonts w:eastAsia="黑体"/>
                <w:color w:val="000000"/>
                <w:sz w:val="24"/>
              </w:rPr>
            </w:pPr>
            <w:r>
              <w:rPr>
                <w:rFonts w:eastAsia="黑体"/>
                <w:color w:val="000000"/>
                <w:kern w:val="0"/>
                <w:sz w:val="24"/>
                <w:lang w:bidi="ar"/>
              </w:rPr>
              <w:t>文号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1</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关于印发《浙江省科学技术厅行政许可事项审查、听证、监督检查与责任追究制度（试行）》的通知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办〔</w:t>
            </w:r>
            <w:r>
              <w:rPr>
                <w:color w:val="000000"/>
                <w:kern w:val="0"/>
                <w:sz w:val="24"/>
                <w:lang w:bidi="ar"/>
              </w:rPr>
              <w:t>2004</w:t>
            </w:r>
            <w:r>
              <w:rPr>
                <w:color w:val="000000"/>
                <w:kern w:val="0"/>
                <w:sz w:val="24"/>
                <w:lang w:bidi="ar"/>
              </w:rPr>
              <w:t>〕</w:t>
            </w:r>
            <w:r>
              <w:rPr>
                <w:color w:val="000000"/>
                <w:kern w:val="0"/>
                <w:sz w:val="24"/>
                <w:lang w:bidi="ar"/>
              </w:rPr>
              <w:t>15</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2</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关于印发《浙江省科学技术厅行政许可事项申请、受理与公开工作（试行）办法》的通知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办〔</w:t>
            </w:r>
            <w:r>
              <w:rPr>
                <w:color w:val="000000"/>
                <w:kern w:val="0"/>
                <w:sz w:val="24"/>
                <w:lang w:bidi="ar"/>
              </w:rPr>
              <w:t>2004</w:t>
            </w:r>
            <w:r>
              <w:rPr>
                <w:color w:val="000000"/>
                <w:kern w:val="0"/>
                <w:sz w:val="24"/>
                <w:lang w:bidi="ar"/>
              </w:rPr>
              <w:t>〕</w:t>
            </w:r>
            <w:r>
              <w:rPr>
                <w:color w:val="000000"/>
                <w:kern w:val="0"/>
                <w:sz w:val="24"/>
                <w:lang w:bidi="ar"/>
              </w:rPr>
              <w:t>16</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3</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关于印发《浙江省省级区域创新平台建设与管理试行办法》的通知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浙科发条</w:t>
            </w:r>
            <w:proofErr w:type="gramEnd"/>
            <w:r>
              <w:rPr>
                <w:color w:val="000000"/>
                <w:kern w:val="0"/>
                <w:sz w:val="24"/>
                <w:lang w:bidi="ar"/>
              </w:rPr>
              <w:t>〔</w:t>
            </w:r>
            <w:r>
              <w:rPr>
                <w:color w:val="000000"/>
                <w:kern w:val="0"/>
                <w:sz w:val="24"/>
                <w:lang w:bidi="ar"/>
              </w:rPr>
              <w:t>2006</w:t>
            </w:r>
            <w:r>
              <w:rPr>
                <w:color w:val="000000"/>
                <w:kern w:val="0"/>
                <w:sz w:val="24"/>
                <w:lang w:bidi="ar"/>
              </w:rPr>
              <w:t>〕</w:t>
            </w:r>
            <w:r>
              <w:rPr>
                <w:color w:val="000000"/>
                <w:kern w:val="0"/>
                <w:sz w:val="24"/>
                <w:lang w:bidi="ar"/>
              </w:rPr>
              <w:t>233</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4</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转发《关于科研机构和大学向社会开放开展科普活动的若干意见》的通知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社〔</w:t>
            </w:r>
            <w:r>
              <w:rPr>
                <w:color w:val="000000"/>
                <w:kern w:val="0"/>
                <w:sz w:val="24"/>
                <w:lang w:bidi="ar"/>
              </w:rPr>
              <w:t>2007</w:t>
            </w:r>
            <w:r>
              <w:rPr>
                <w:color w:val="000000"/>
                <w:kern w:val="0"/>
                <w:sz w:val="24"/>
                <w:lang w:bidi="ar"/>
              </w:rPr>
              <w:t>〕</w:t>
            </w:r>
            <w:r>
              <w:rPr>
                <w:color w:val="000000"/>
                <w:kern w:val="0"/>
                <w:sz w:val="24"/>
                <w:lang w:bidi="ar"/>
              </w:rPr>
              <w:t>18</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5</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关于印发《浙江省科学技术行政复议规程</w:t>
            </w:r>
            <w:r>
              <w:rPr>
                <w:color w:val="000000"/>
                <w:kern w:val="0"/>
                <w:sz w:val="24"/>
                <w:lang w:bidi="ar"/>
              </w:rPr>
              <w:t>(</w:t>
            </w:r>
            <w:r>
              <w:rPr>
                <w:color w:val="000000"/>
                <w:kern w:val="0"/>
                <w:sz w:val="24"/>
                <w:lang w:bidi="ar"/>
              </w:rPr>
              <w:t>试行</w:t>
            </w:r>
            <w:r>
              <w:rPr>
                <w:color w:val="000000"/>
                <w:kern w:val="0"/>
                <w:sz w:val="24"/>
                <w:lang w:bidi="ar"/>
              </w:rPr>
              <w:t>)</w:t>
            </w:r>
            <w:r>
              <w:rPr>
                <w:color w:val="000000"/>
                <w:kern w:val="0"/>
                <w:sz w:val="24"/>
                <w:lang w:bidi="ar"/>
              </w:rPr>
              <w:t>》的通知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color w:val="000000"/>
                <w:kern w:val="0"/>
                <w:sz w:val="24"/>
                <w:lang w:bidi="ar"/>
              </w:rPr>
              <w:t>2007</w:t>
            </w:r>
            <w:r>
              <w:rPr>
                <w:color w:val="000000"/>
                <w:kern w:val="0"/>
                <w:sz w:val="24"/>
                <w:lang w:bidi="ar"/>
              </w:rPr>
              <w:t>〕</w:t>
            </w:r>
            <w:r>
              <w:rPr>
                <w:color w:val="000000"/>
                <w:kern w:val="0"/>
                <w:sz w:val="24"/>
                <w:lang w:bidi="ar"/>
              </w:rPr>
              <w:t>23</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6</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关于印发《浙江省科学技术厅涉密网络管理规定》的通知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办〔</w:t>
            </w:r>
            <w:r>
              <w:rPr>
                <w:color w:val="000000"/>
                <w:kern w:val="0"/>
                <w:sz w:val="24"/>
                <w:lang w:bidi="ar"/>
              </w:rPr>
              <w:t>2007</w:t>
            </w:r>
            <w:r>
              <w:rPr>
                <w:color w:val="000000"/>
                <w:kern w:val="0"/>
                <w:sz w:val="24"/>
                <w:lang w:bidi="ar"/>
              </w:rPr>
              <w:t>〕</w:t>
            </w:r>
            <w:r>
              <w:rPr>
                <w:color w:val="000000"/>
                <w:kern w:val="0"/>
                <w:sz w:val="24"/>
                <w:lang w:bidi="ar"/>
              </w:rPr>
              <w:t>134</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7</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关于印发《浙江省科学技术厅涉密人员管理规定》的通知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办〔</w:t>
            </w:r>
            <w:r>
              <w:rPr>
                <w:color w:val="000000"/>
                <w:kern w:val="0"/>
                <w:sz w:val="24"/>
                <w:lang w:bidi="ar"/>
              </w:rPr>
              <w:t>2007</w:t>
            </w:r>
            <w:r>
              <w:rPr>
                <w:color w:val="000000"/>
                <w:kern w:val="0"/>
                <w:sz w:val="24"/>
                <w:lang w:bidi="ar"/>
              </w:rPr>
              <w:t>〕</w:t>
            </w:r>
            <w:r>
              <w:rPr>
                <w:color w:val="000000"/>
                <w:kern w:val="0"/>
                <w:sz w:val="24"/>
                <w:lang w:bidi="ar"/>
              </w:rPr>
              <w:t>135</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8</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关于印发《浙江省科技计划项目经费预算评审办法（试行）》的通知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color w:val="000000"/>
                <w:kern w:val="0"/>
                <w:sz w:val="24"/>
                <w:lang w:bidi="ar"/>
              </w:rPr>
              <w:t>2008</w:t>
            </w:r>
            <w:r>
              <w:rPr>
                <w:color w:val="000000"/>
                <w:kern w:val="0"/>
                <w:sz w:val="24"/>
                <w:lang w:bidi="ar"/>
              </w:rPr>
              <w:t>〕</w:t>
            </w:r>
            <w:r>
              <w:rPr>
                <w:color w:val="000000"/>
                <w:kern w:val="0"/>
                <w:sz w:val="24"/>
                <w:lang w:bidi="ar"/>
              </w:rPr>
              <w:t>166</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9</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关于充分发挥检验检测机构作用推进公共科技条件平台建设的通知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浙科发条</w:t>
            </w:r>
            <w:proofErr w:type="gramEnd"/>
            <w:r>
              <w:rPr>
                <w:color w:val="000000"/>
                <w:kern w:val="0"/>
                <w:sz w:val="24"/>
                <w:lang w:bidi="ar"/>
              </w:rPr>
              <w:t>〔</w:t>
            </w:r>
            <w:r>
              <w:rPr>
                <w:color w:val="000000"/>
                <w:kern w:val="0"/>
                <w:sz w:val="24"/>
                <w:lang w:bidi="ar"/>
              </w:rPr>
              <w:t>2008</w:t>
            </w:r>
            <w:r>
              <w:rPr>
                <w:color w:val="000000"/>
                <w:kern w:val="0"/>
                <w:sz w:val="24"/>
                <w:lang w:bidi="ar"/>
              </w:rPr>
              <w:t>〕</w:t>
            </w:r>
            <w:r>
              <w:rPr>
                <w:color w:val="000000"/>
                <w:kern w:val="0"/>
                <w:sz w:val="24"/>
                <w:lang w:bidi="ar"/>
              </w:rPr>
              <w:t>233</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10</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关于印发《关于加强省部会商项目组织实施工作的意见》的通知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color w:val="000000"/>
                <w:kern w:val="0"/>
                <w:sz w:val="24"/>
                <w:lang w:bidi="ar"/>
              </w:rPr>
              <w:t>2008</w:t>
            </w:r>
            <w:r>
              <w:rPr>
                <w:color w:val="000000"/>
                <w:kern w:val="0"/>
                <w:sz w:val="24"/>
                <w:lang w:bidi="ar"/>
              </w:rPr>
              <w:t>〕</w:t>
            </w:r>
            <w:r>
              <w:rPr>
                <w:color w:val="000000"/>
                <w:kern w:val="0"/>
                <w:sz w:val="24"/>
                <w:lang w:bidi="ar"/>
              </w:rPr>
              <w:t>239</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11</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关于印发《浙江省科技厅涉密计算机和涉密移动存储介质保密管理规定（试行）》的通知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办〔</w:t>
            </w:r>
            <w:r>
              <w:rPr>
                <w:color w:val="000000"/>
                <w:kern w:val="0"/>
                <w:sz w:val="24"/>
                <w:lang w:bidi="ar"/>
              </w:rPr>
              <w:t>2009</w:t>
            </w:r>
            <w:r>
              <w:rPr>
                <w:color w:val="000000"/>
                <w:kern w:val="0"/>
                <w:sz w:val="24"/>
                <w:lang w:bidi="ar"/>
              </w:rPr>
              <w:t>〕</w:t>
            </w:r>
            <w:r>
              <w:rPr>
                <w:color w:val="000000"/>
                <w:kern w:val="0"/>
                <w:sz w:val="24"/>
                <w:lang w:bidi="ar"/>
              </w:rPr>
              <w:t>126</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12</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关于建立全省科技系统行政许可行政处罚案件统计制度的通知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color w:val="000000"/>
                <w:kern w:val="0"/>
                <w:sz w:val="24"/>
                <w:lang w:bidi="ar"/>
              </w:rPr>
              <w:t>2009</w:t>
            </w:r>
            <w:r>
              <w:rPr>
                <w:color w:val="000000"/>
                <w:kern w:val="0"/>
                <w:sz w:val="24"/>
                <w:lang w:bidi="ar"/>
              </w:rPr>
              <w:t>〕</w:t>
            </w:r>
            <w:r>
              <w:rPr>
                <w:color w:val="000000"/>
                <w:kern w:val="0"/>
                <w:sz w:val="24"/>
                <w:lang w:bidi="ar"/>
              </w:rPr>
              <w:t>158</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13</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关于鼓励科研项目单位积极吸纳和稳定高校毕业生就业的意见</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color w:val="000000"/>
                <w:kern w:val="0"/>
                <w:sz w:val="24"/>
                <w:lang w:bidi="ar"/>
              </w:rPr>
              <w:t>2009</w:t>
            </w:r>
            <w:r>
              <w:rPr>
                <w:color w:val="000000"/>
                <w:kern w:val="0"/>
                <w:sz w:val="24"/>
                <w:lang w:bidi="ar"/>
              </w:rPr>
              <w:t>〕</w:t>
            </w:r>
            <w:r>
              <w:rPr>
                <w:color w:val="000000"/>
                <w:kern w:val="0"/>
                <w:sz w:val="24"/>
                <w:lang w:bidi="ar"/>
              </w:rPr>
              <w:t>161</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14</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关于印发《浙江省省级重点企业研究院自主设计自筹经费项目管理办法（试行）》的通知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color w:val="000000"/>
                <w:kern w:val="0"/>
                <w:sz w:val="24"/>
                <w:lang w:bidi="ar"/>
              </w:rPr>
              <w:t>2013</w:t>
            </w:r>
            <w:r>
              <w:rPr>
                <w:color w:val="000000"/>
                <w:kern w:val="0"/>
                <w:sz w:val="24"/>
                <w:lang w:bidi="ar"/>
              </w:rPr>
              <w:t>〕</w:t>
            </w:r>
            <w:r>
              <w:rPr>
                <w:color w:val="000000"/>
                <w:kern w:val="0"/>
                <w:sz w:val="24"/>
                <w:lang w:bidi="ar"/>
              </w:rPr>
              <w:t>239</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15</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关于明确全省科技系统实施行政处罚适用听证程序较大数额罚款标准的通知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color w:val="000000"/>
                <w:kern w:val="0"/>
                <w:sz w:val="24"/>
                <w:lang w:bidi="ar"/>
              </w:rPr>
              <w:t>2014</w:t>
            </w:r>
            <w:r>
              <w:rPr>
                <w:color w:val="000000"/>
                <w:kern w:val="0"/>
                <w:sz w:val="24"/>
                <w:lang w:bidi="ar"/>
              </w:rPr>
              <w:t>〕</w:t>
            </w:r>
            <w:r>
              <w:rPr>
                <w:color w:val="000000"/>
                <w:kern w:val="0"/>
                <w:sz w:val="24"/>
                <w:lang w:bidi="ar"/>
              </w:rPr>
              <w:t>104</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16</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关于促进科技类社会团体健康发展的通知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人〔</w:t>
            </w:r>
            <w:r>
              <w:rPr>
                <w:color w:val="000000"/>
                <w:kern w:val="0"/>
                <w:sz w:val="24"/>
                <w:lang w:bidi="ar"/>
              </w:rPr>
              <w:t>2014</w:t>
            </w:r>
            <w:r>
              <w:rPr>
                <w:color w:val="000000"/>
                <w:kern w:val="0"/>
                <w:sz w:val="24"/>
                <w:lang w:bidi="ar"/>
              </w:rPr>
              <w:t>〕</w:t>
            </w:r>
            <w:r>
              <w:rPr>
                <w:color w:val="000000"/>
                <w:kern w:val="0"/>
                <w:sz w:val="24"/>
                <w:lang w:bidi="ar"/>
              </w:rPr>
              <w:t>222</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17</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关于印发《浙江省省级科技计划项目伦理审查与</w:t>
            </w:r>
            <w:r>
              <w:rPr>
                <w:color w:val="000000"/>
                <w:kern w:val="0"/>
                <w:sz w:val="24"/>
                <w:lang w:bidi="ar"/>
              </w:rPr>
              <w:lastRenderedPageBreak/>
              <w:t>评估管理办法（试行）》的通知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lastRenderedPageBreak/>
              <w:t>浙科发</w:t>
            </w:r>
            <w:proofErr w:type="gramEnd"/>
            <w:r>
              <w:rPr>
                <w:color w:val="000000"/>
                <w:kern w:val="0"/>
                <w:sz w:val="24"/>
                <w:lang w:bidi="ar"/>
              </w:rPr>
              <w:t>政〔</w:t>
            </w:r>
            <w:r>
              <w:rPr>
                <w:color w:val="000000"/>
                <w:kern w:val="0"/>
                <w:sz w:val="24"/>
                <w:lang w:bidi="ar"/>
              </w:rPr>
              <w:t>2016</w:t>
            </w:r>
            <w:r>
              <w:rPr>
                <w:color w:val="000000"/>
                <w:kern w:val="0"/>
                <w:sz w:val="24"/>
                <w:lang w:bidi="ar"/>
              </w:rPr>
              <w:t>〕</w:t>
            </w:r>
            <w:r>
              <w:rPr>
                <w:color w:val="000000"/>
                <w:kern w:val="0"/>
                <w:sz w:val="24"/>
                <w:lang w:bidi="ar"/>
              </w:rPr>
              <w:t>1</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lastRenderedPageBreak/>
              <w:t>18</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关于进一步加强省级重点企业研究院建设和管理有关事项的通知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浙科发条</w:t>
            </w:r>
            <w:proofErr w:type="gramEnd"/>
            <w:r>
              <w:rPr>
                <w:color w:val="000000"/>
                <w:kern w:val="0"/>
                <w:sz w:val="24"/>
                <w:lang w:bidi="ar"/>
              </w:rPr>
              <w:t>〔</w:t>
            </w:r>
            <w:r>
              <w:rPr>
                <w:color w:val="000000"/>
                <w:kern w:val="0"/>
                <w:sz w:val="24"/>
                <w:lang w:bidi="ar"/>
              </w:rPr>
              <w:t>2016</w:t>
            </w:r>
            <w:r>
              <w:rPr>
                <w:color w:val="000000"/>
                <w:kern w:val="0"/>
                <w:sz w:val="24"/>
                <w:lang w:bidi="ar"/>
              </w:rPr>
              <w:t>〕</w:t>
            </w:r>
            <w:r>
              <w:rPr>
                <w:color w:val="000000"/>
                <w:kern w:val="0"/>
                <w:sz w:val="24"/>
                <w:lang w:bidi="ar"/>
              </w:rPr>
              <w:t>30</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19</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关于印发《浙江省高成长科技型中小企业评价指导性意见》的通知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color w:val="000000"/>
                <w:kern w:val="0"/>
                <w:sz w:val="24"/>
                <w:lang w:bidi="ar"/>
              </w:rPr>
              <w:t>2016</w:t>
            </w:r>
            <w:r>
              <w:rPr>
                <w:color w:val="000000"/>
                <w:kern w:val="0"/>
                <w:sz w:val="24"/>
                <w:lang w:bidi="ar"/>
              </w:rPr>
              <w:t>〕</w:t>
            </w:r>
            <w:r>
              <w:rPr>
                <w:color w:val="000000"/>
                <w:kern w:val="0"/>
                <w:sz w:val="24"/>
                <w:lang w:bidi="ar"/>
              </w:rPr>
              <w:t>87</w:t>
            </w:r>
            <w:r>
              <w:rPr>
                <w:color w:val="000000"/>
                <w:kern w:val="0"/>
                <w:sz w:val="24"/>
                <w:lang w:bidi="ar"/>
              </w:rPr>
              <w:t>号</w:t>
            </w:r>
          </w:p>
        </w:tc>
      </w:tr>
      <w:tr w:rsidR="005E1055" w:rsidTr="00786951">
        <w:trPr>
          <w:trHeight w:val="500"/>
        </w:trPr>
        <w:tc>
          <w:tcPr>
            <w:tcW w:w="93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r>
              <w:rPr>
                <w:color w:val="000000"/>
                <w:kern w:val="0"/>
                <w:sz w:val="24"/>
                <w:lang w:bidi="ar"/>
              </w:rPr>
              <w:t>20</w:t>
            </w:r>
          </w:p>
        </w:tc>
        <w:tc>
          <w:tcPr>
            <w:tcW w:w="528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textAlignment w:val="center"/>
              <w:rPr>
                <w:color w:val="000000"/>
                <w:sz w:val="24"/>
              </w:rPr>
            </w:pPr>
            <w:r>
              <w:rPr>
                <w:color w:val="000000"/>
                <w:kern w:val="0"/>
                <w:sz w:val="24"/>
                <w:lang w:bidi="ar"/>
              </w:rPr>
              <w:t>关于深化</w:t>
            </w:r>
            <w:r>
              <w:rPr>
                <w:color w:val="000000"/>
                <w:kern w:val="0"/>
                <w:sz w:val="24"/>
                <w:lang w:bidi="ar"/>
              </w:rPr>
              <w:t>“</w:t>
            </w:r>
            <w:r>
              <w:rPr>
                <w:color w:val="000000"/>
                <w:kern w:val="0"/>
                <w:sz w:val="24"/>
                <w:lang w:bidi="ar"/>
              </w:rPr>
              <w:t>三服务</w:t>
            </w:r>
            <w:r>
              <w:rPr>
                <w:color w:val="000000"/>
                <w:kern w:val="0"/>
                <w:sz w:val="24"/>
                <w:lang w:bidi="ar"/>
              </w:rPr>
              <w:t>”</w:t>
            </w:r>
            <w:r>
              <w:rPr>
                <w:color w:val="000000"/>
                <w:kern w:val="0"/>
                <w:sz w:val="24"/>
                <w:lang w:bidi="ar"/>
              </w:rPr>
              <w:t>活动支持企业创新发展的通知</w:t>
            </w:r>
          </w:p>
        </w:tc>
        <w:tc>
          <w:tcPr>
            <w:tcW w:w="2875" w:type="dxa"/>
            <w:tcBorders>
              <w:top w:val="single" w:sz="4" w:space="0" w:color="000000"/>
              <w:left w:val="single" w:sz="4" w:space="0" w:color="000000"/>
              <w:bottom w:val="single" w:sz="4" w:space="0" w:color="000000"/>
              <w:right w:val="single" w:sz="4" w:space="0" w:color="000000"/>
            </w:tcBorders>
            <w:vAlign w:val="center"/>
          </w:tcPr>
          <w:p w:rsidR="005E1055" w:rsidRDefault="005E1055"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color w:val="000000"/>
                <w:kern w:val="0"/>
                <w:sz w:val="24"/>
                <w:lang w:bidi="ar"/>
              </w:rPr>
              <w:t>2019</w:t>
            </w:r>
            <w:r>
              <w:rPr>
                <w:color w:val="000000"/>
                <w:kern w:val="0"/>
                <w:sz w:val="24"/>
                <w:lang w:bidi="ar"/>
              </w:rPr>
              <w:t>〕</w:t>
            </w:r>
            <w:r>
              <w:rPr>
                <w:color w:val="000000"/>
                <w:kern w:val="0"/>
                <w:sz w:val="24"/>
                <w:lang w:bidi="ar"/>
              </w:rPr>
              <w:t>8</w:t>
            </w:r>
            <w:r>
              <w:rPr>
                <w:color w:val="000000"/>
                <w:kern w:val="0"/>
                <w:sz w:val="24"/>
                <w:lang w:bidi="ar"/>
              </w:rPr>
              <w:t>号</w:t>
            </w:r>
          </w:p>
        </w:tc>
      </w:tr>
    </w:tbl>
    <w:p w:rsidR="00B356F0" w:rsidRDefault="00B356F0"/>
    <w:sectPr w:rsidR="00B356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55"/>
    <w:rsid w:val="005E1055"/>
    <w:rsid w:val="00B3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2023-08-16T09:41:00Z</dcterms:created>
  <dcterms:modified xsi:type="dcterms:W3CDTF">2023-08-16T09:41:00Z</dcterms:modified>
</cp:coreProperties>
</file>