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B" w:rsidRPr="000B574A" w:rsidRDefault="00EC058B" w:rsidP="00EC058B">
      <w:pPr>
        <w:overflowPunct w:val="0"/>
        <w:autoSpaceDE w:val="0"/>
        <w:autoSpaceDN w:val="0"/>
        <w:snapToGrid w:val="0"/>
        <w:spacing w:line="600" w:lineRule="exact"/>
        <w:jc w:val="left"/>
        <w:rPr>
          <w:rFonts w:eastAsia="黑体"/>
          <w:color w:val="000000"/>
          <w:sz w:val="32"/>
          <w:szCs w:val="32"/>
          <w:lang w:bidi="ar"/>
        </w:rPr>
      </w:pPr>
      <w:r w:rsidRPr="000B574A">
        <w:rPr>
          <w:rFonts w:eastAsia="黑体"/>
          <w:color w:val="000000"/>
          <w:sz w:val="32"/>
          <w:szCs w:val="32"/>
          <w:lang w:bidi="ar"/>
        </w:rPr>
        <w:t>附件</w:t>
      </w:r>
      <w:r w:rsidRPr="000B574A">
        <w:rPr>
          <w:rFonts w:eastAsia="黑体"/>
          <w:color w:val="000000"/>
          <w:sz w:val="32"/>
          <w:szCs w:val="32"/>
          <w:lang w:bidi="ar"/>
        </w:rPr>
        <w:t xml:space="preserve">1  </w:t>
      </w:r>
    </w:p>
    <w:p w:rsidR="00EC058B" w:rsidRPr="000B574A" w:rsidRDefault="00EC058B" w:rsidP="00EC058B">
      <w:pPr>
        <w:pStyle w:val="a0"/>
        <w:spacing w:after="0" w:line="600" w:lineRule="exact"/>
        <w:ind w:left="0" w:firstLine="210"/>
        <w:rPr>
          <w:rFonts w:ascii="Times New Roman" w:hAnsi="Times New Roman" w:cs="Times New Roman"/>
          <w:color w:val="000000"/>
          <w:lang w:val="en-US"/>
        </w:rPr>
      </w:pPr>
    </w:p>
    <w:p w:rsidR="00EC058B" w:rsidRPr="000B574A" w:rsidRDefault="00EC058B" w:rsidP="00EC058B">
      <w:pPr>
        <w:widowControl/>
        <w:spacing w:line="600" w:lineRule="exact"/>
        <w:jc w:val="center"/>
        <w:rPr>
          <w:rFonts w:eastAsia="方正小标宋简体"/>
          <w:color w:val="000000"/>
          <w:sz w:val="44"/>
          <w:szCs w:val="44"/>
          <w:lang w:bidi="ar"/>
        </w:rPr>
      </w:pPr>
      <w:r w:rsidRPr="000B574A">
        <w:rPr>
          <w:rFonts w:eastAsia="方正小标宋简体"/>
          <w:color w:val="000000"/>
          <w:sz w:val="44"/>
          <w:szCs w:val="44"/>
          <w:lang w:bidi="ar"/>
        </w:rPr>
        <w:t>浙江省人民政府办公厅关于支持重大科创</w:t>
      </w:r>
    </w:p>
    <w:p w:rsidR="00EC058B" w:rsidRPr="000B574A" w:rsidRDefault="00EC058B" w:rsidP="00EC058B">
      <w:pPr>
        <w:widowControl/>
        <w:spacing w:line="600" w:lineRule="exact"/>
        <w:jc w:val="center"/>
        <w:rPr>
          <w:rFonts w:eastAsia="方正小标宋简体"/>
          <w:color w:val="000000"/>
          <w:sz w:val="44"/>
          <w:szCs w:val="44"/>
          <w:lang w:bidi="ar"/>
        </w:rPr>
      </w:pPr>
      <w:r w:rsidRPr="000B574A">
        <w:rPr>
          <w:rFonts w:eastAsia="方正小标宋简体"/>
          <w:color w:val="000000"/>
          <w:sz w:val="44"/>
          <w:szCs w:val="44"/>
          <w:lang w:bidi="ar"/>
        </w:rPr>
        <w:t>平台和新型高校建设的实施意见</w:t>
      </w:r>
    </w:p>
    <w:p w:rsidR="00EC058B" w:rsidRPr="000B574A" w:rsidRDefault="00EC058B" w:rsidP="00EC058B">
      <w:pPr>
        <w:pStyle w:val="a0"/>
        <w:spacing w:after="0" w:line="600" w:lineRule="exact"/>
        <w:ind w:left="0" w:firstLineChars="0" w:firstLine="0"/>
        <w:jc w:val="center"/>
        <w:rPr>
          <w:rFonts w:ascii="Times New Roman" w:eastAsia="楷体_GB2312" w:hAnsi="Times New Roman" w:cs="Times New Roman"/>
          <w:color w:val="000000"/>
          <w:sz w:val="32"/>
          <w:lang w:val="en-US"/>
        </w:rPr>
      </w:pPr>
      <w:r w:rsidRPr="000B574A">
        <w:rPr>
          <w:rFonts w:ascii="Times New Roman" w:eastAsia="楷体_GB2312" w:hAnsi="Times New Roman" w:cs="Times New Roman"/>
          <w:color w:val="000000"/>
          <w:sz w:val="32"/>
          <w:lang w:val="en-US"/>
        </w:rPr>
        <w:t>（代拟稿）</w:t>
      </w:r>
    </w:p>
    <w:p w:rsidR="00EC058B" w:rsidRPr="000B574A" w:rsidRDefault="00EC058B" w:rsidP="00EC058B">
      <w:pPr>
        <w:spacing w:line="600" w:lineRule="exact"/>
        <w:rPr>
          <w:rFonts w:eastAsia="方正仿宋_GB2312"/>
          <w:color w:val="000000"/>
          <w:sz w:val="32"/>
          <w:szCs w:val="32"/>
        </w:rPr>
      </w:pPr>
    </w:p>
    <w:p w:rsidR="00EC058B" w:rsidRPr="000B574A" w:rsidRDefault="00EC058B" w:rsidP="00EC058B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各设区市人民政府，省政府直属各单位：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和新型高校是高水平创新型省份和高教强省建设的重要支撑力量，对我省集聚高层次科研人才、培育战略科技力量、推进高水平科技自立自强具有重要意义。为支持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和新型高校高质量发展，根据省委、省政府决策部署，制定本意见。</w:t>
      </w:r>
    </w:p>
    <w:p w:rsidR="00EC058B" w:rsidRPr="000B574A" w:rsidRDefault="00EC058B" w:rsidP="00EC058B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0B574A">
        <w:rPr>
          <w:rFonts w:eastAsia="黑体"/>
          <w:color w:val="000000"/>
          <w:sz w:val="32"/>
          <w:szCs w:val="32"/>
        </w:rPr>
        <w:t>一、总体要求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lang w:bidi="ar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（一）指导思想。</w:t>
      </w:r>
      <w:r w:rsidRPr="000B574A">
        <w:rPr>
          <w:rFonts w:eastAsia="仿宋_GB2312"/>
          <w:color w:val="000000"/>
          <w:sz w:val="32"/>
          <w:szCs w:val="32"/>
        </w:rPr>
        <w:t>以习近平新时代中国特色社会主义思想为指导，全面贯彻党的二十大和省第十五次党代会、全省科技创新大会精神，深入实施科技创新和人才强省首位战略，以战略需求和创新绩效为导向，以深化体制机制改革为动力，以构建国家战略科技力量体系为重点，深化完善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和新型高校建设</w:t>
      </w:r>
      <w:r w:rsidRPr="000B574A">
        <w:rPr>
          <w:rFonts w:eastAsia="仿宋_GB2312"/>
          <w:color w:val="000000"/>
          <w:sz w:val="32"/>
          <w:szCs w:val="32"/>
        </w:rPr>
        <w:t>“</w:t>
      </w:r>
      <w:r w:rsidRPr="000B574A">
        <w:rPr>
          <w:rFonts w:eastAsia="仿宋_GB2312"/>
          <w:color w:val="000000"/>
          <w:sz w:val="32"/>
          <w:szCs w:val="32"/>
        </w:rPr>
        <w:t>一事一议</w:t>
      </w:r>
      <w:r w:rsidRPr="000B574A">
        <w:rPr>
          <w:rFonts w:eastAsia="仿宋_GB2312"/>
          <w:color w:val="000000"/>
          <w:sz w:val="32"/>
          <w:szCs w:val="32"/>
        </w:rPr>
        <w:t>”</w:t>
      </w:r>
      <w:r w:rsidRPr="000B574A">
        <w:rPr>
          <w:rFonts w:eastAsia="仿宋_GB2312"/>
          <w:color w:val="000000"/>
          <w:sz w:val="32"/>
          <w:szCs w:val="32"/>
        </w:rPr>
        <w:t>支持机制，充分激发科研机构和科研人员创新创造力，不断塑造发展新动能新优势，全面增强科技创新体系化能力，为加快建设具有全球影响力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的科创高地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、创新策源地和国际重要产业创新中心，加快形成世界重要人才中心和创新高地的战略支点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作出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更大贡献。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lastRenderedPageBreak/>
        <w:t>（二）基本原则。</w:t>
      </w:r>
    </w:p>
    <w:p w:rsidR="00EC058B" w:rsidRPr="000B574A" w:rsidRDefault="00EC058B" w:rsidP="00EC058B">
      <w:pPr>
        <w:pStyle w:val="a0"/>
        <w:spacing w:after="0" w:line="600" w:lineRule="exact"/>
        <w:ind w:left="0" w:firstLine="320"/>
        <w:rPr>
          <w:rFonts w:ascii="Times New Roman" w:hAnsi="Times New Roman" w:cs="Times New Roman"/>
          <w:color w:val="000000"/>
          <w:lang w:val="en-US"/>
        </w:rPr>
      </w:pPr>
      <w:r w:rsidRPr="000B574A">
        <w:rPr>
          <w:rFonts w:ascii="Times New Roman" w:eastAsia="仿宋_GB2312" w:hAnsi="Times New Roman" w:cs="Times New Roman"/>
          <w:color w:val="000000"/>
          <w:sz w:val="32"/>
          <w:lang w:val="en-US"/>
        </w:rPr>
        <w:t xml:space="preserve">  1.</w:t>
      </w:r>
      <w:r w:rsidRPr="000B574A">
        <w:rPr>
          <w:rFonts w:ascii="Times New Roman" w:eastAsia="仿宋_GB2312" w:hAnsi="Times New Roman" w:cs="Times New Roman"/>
          <w:color w:val="000000"/>
          <w:sz w:val="32"/>
          <w:lang w:val="en-US"/>
        </w:rPr>
        <w:t>深化改革，创新机制。</w:t>
      </w:r>
      <w:r w:rsidRPr="000B574A">
        <w:rPr>
          <w:rFonts w:ascii="Times New Roman" w:eastAsia="仿宋_GB2312" w:hAnsi="Times New Roman" w:cs="Times New Roman"/>
          <w:color w:val="000000"/>
          <w:sz w:val="32"/>
          <w:lang w:val="en-US" w:bidi="ar-SA"/>
        </w:rPr>
        <w:t>坚持以改革创新为动力，完善</w:t>
      </w:r>
      <w:r w:rsidRPr="000B574A">
        <w:rPr>
          <w:rFonts w:ascii="Times New Roman" w:eastAsia="仿宋_GB2312" w:hAnsi="Times New Roman" w:cs="Times New Roman"/>
          <w:color w:val="000000"/>
          <w:sz w:val="32"/>
          <w:lang w:bidi="ar-SA"/>
        </w:rPr>
        <w:t>支持</w:t>
      </w:r>
      <w:r w:rsidRPr="000B574A">
        <w:rPr>
          <w:rFonts w:ascii="Times New Roman" w:eastAsia="仿宋_GB2312" w:hAnsi="Times New Roman" w:cs="Times New Roman"/>
          <w:color w:val="000000"/>
          <w:sz w:val="32"/>
          <w:lang w:val="en-US" w:bidi="ar-SA"/>
        </w:rPr>
        <w:t>评价与激励机制，增强科研人员的创造力和活力。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2.</w:t>
      </w:r>
      <w:r w:rsidRPr="000B574A">
        <w:rPr>
          <w:rFonts w:eastAsia="仿宋_GB2312"/>
          <w:color w:val="000000"/>
          <w:sz w:val="32"/>
          <w:szCs w:val="32"/>
        </w:rPr>
        <w:t>精准支持，突出重点。围绕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和新型高校建设目标，科学评估政策需求，重点在人才培养、学科建设、科学研究、社会服务和基本建设等方面给予精准支持。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3.</w:t>
      </w:r>
      <w:r w:rsidRPr="000B574A">
        <w:rPr>
          <w:rFonts w:eastAsia="仿宋_GB2312"/>
          <w:color w:val="000000"/>
          <w:sz w:val="32"/>
          <w:szCs w:val="32"/>
        </w:rPr>
        <w:t>总体规划，项目推进。根据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和新型高校建设规划和政策需求，确定总体支持方案，按项目推进。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4.</w:t>
      </w:r>
      <w:r w:rsidRPr="000B574A">
        <w:rPr>
          <w:rFonts w:eastAsia="仿宋_GB2312"/>
          <w:color w:val="000000"/>
          <w:sz w:val="32"/>
          <w:szCs w:val="32"/>
        </w:rPr>
        <w:t>绩效导向，年度调整。聚焦重大成果产出和科技成果转化，明确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和新型高校阶段性绩效目标，建立支持政策与绩效挂钩的动态调整机制。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（三）主要目标。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和新型高校管理体制更加完善、支持机制更加有效、绩效评价更加科学，进一步激发科研人员创新活力，促进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和新型高校高质量发展，助推</w:t>
      </w:r>
      <w:r w:rsidRPr="000B574A">
        <w:rPr>
          <w:rFonts w:eastAsia="仿宋_GB2312"/>
          <w:color w:val="000000"/>
          <w:sz w:val="32"/>
          <w:szCs w:val="32"/>
        </w:rPr>
        <w:t>“</w:t>
      </w:r>
      <w:r w:rsidRPr="000B574A">
        <w:rPr>
          <w:rFonts w:eastAsia="仿宋_GB2312"/>
          <w:color w:val="000000"/>
          <w:sz w:val="32"/>
          <w:szCs w:val="32"/>
        </w:rPr>
        <w:t>互联网</w:t>
      </w:r>
      <w:r w:rsidRPr="000B574A">
        <w:rPr>
          <w:rFonts w:eastAsia="仿宋_GB2312"/>
          <w:color w:val="000000"/>
          <w:sz w:val="32"/>
          <w:szCs w:val="32"/>
        </w:rPr>
        <w:t>+”</w:t>
      </w:r>
      <w:r w:rsidRPr="000B574A">
        <w:rPr>
          <w:rFonts w:eastAsia="仿宋_GB2312"/>
          <w:color w:val="000000"/>
          <w:sz w:val="32"/>
          <w:szCs w:val="32"/>
        </w:rPr>
        <w:t>、生命健康和新材料三大科创高地加快建设。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黑体"/>
          <w:color w:val="000000"/>
          <w:kern w:val="0"/>
          <w:sz w:val="32"/>
          <w:szCs w:val="32"/>
          <w:lang w:bidi="ar"/>
        </w:rPr>
      </w:pPr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>二、支持对象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（一）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，是指国家实验室、省实验室、重大科技基础设施、国际大科学计划、省部（校、院）共建重大创新载体等需要省重点支持的创新平台；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（二）新型高校，是指经教育部批准设立的，由社会力量或省部（校、院）共建等新型主体举办，采用民办公助、国有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民办等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新模式办学，实行学生收费、社会捐赠以及政府</w:t>
      </w:r>
      <w:r w:rsidRPr="000B574A">
        <w:rPr>
          <w:rFonts w:eastAsia="仿宋_GB2312"/>
          <w:color w:val="000000"/>
          <w:sz w:val="32"/>
          <w:szCs w:val="32"/>
        </w:rPr>
        <w:lastRenderedPageBreak/>
        <w:t>补助相结合的新机制保障，以高起点、创新型、国际化为特点，以培养拔尖创新人才为目标，需要省重点支持的高等院校；</w:t>
      </w:r>
      <w:r w:rsidRPr="000B574A">
        <w:rPr>
          <w:rFonts w:eastAsia="仿宋_GB2312"/>
          <w:color w:val="000000"/>
          <w:sz w:val="32"/>
          <w:szCs w:val="32"/>
        </w:rPr>
        <w:t xml:space="preserve"> 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（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一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）（二）两项中的</w:t>
      </w:r>
      <w:r w:rsidRPr="000B574A">
        <w:rPr>
          <w:rFonts w:eastAsia="仿宋_GB2312"/>
          <w:color w:val="000000"/>
          <w:sz w:val="32"/>
          <w:szCs w:val="32"/>
        </w:rPr>
        <w:t>“</w:t>
      </w:r>
      <w:r w:rsidRPr="000B574A">
        <w:rPr>
          <w:rFonts w:eastAsia="仿宋_GB2312"/>
          <w:color w:val="000000"/>
          <w:sz w:val="32"/>
          <w:szCs w:val="32"/>
        </w:rPr>
        <w:t>省重点支持</w:t>
      </w:r>
      <w:r w:rsidRPr="000B574A">
        <w:rPr>
          <w:rFonts w:eastAsia="仿宋_GB2312"/>
          <w:color w:val="000000"/>
          <w:sz w:val="32"/>
          <w:szCs w:val="32"/>
        </w:rPr>
        <w:t>”</w:t>
      </w:r>
      <w:r w:rsidRPr="000B574A">
        <w:rPr>
          <w:rFonts w:eastAsia="仿宋_GB2312"/>
          <w:color w:val="000000"/>
          <w:sz w:val="32"/>
          <w:szCs w:val="32"/>
        </w:rPr>
        <w:t>，指</w:t>
      </w:r>
      <w:r w:rsidRPr="000B574A">
        <w:rPr>
          <w:rFonts w:eastAsia="仿宋_GB2312"/>
          <w:color w:val="000000"/>
          <w:sz w:val="32"/>
          <w:szCs w:val="32"/>
        </w:rPr>
        <w:t>5</w:t>
      </w:r>
      <w:r w:rsidRPr="000B574A">
        <w:rPr>
          <w:rFonts w:eastAsia="仿宋_GB2312"/>
          <w:color w:val="000000"/>
          <w:sz w:val="32"/>
          <w:szCs w:val="32"/>
        </w:rPr>
        <w:t>年内省级财政投入一般不低于</w:t>
      </w:r>
      <w:r w:rsidRPr="000B574A">
        <w:rPr>
          <w:rFonts w:eastAsia="仿宋_GB2312"/>
          <w:color w:val="000000"/>
          <w:sz w:val="32"/>
          <w:szCs w:val="32"/>
        </w:rPr>
        <w:t>5</w:t>
      </w:r>
      <w:r w:rsidRPr="000B574A">
        <w:rPr>
          <w:rFonts w:eastAsia="仿宋_GB2312"/>
          <w:color w:val="000000"/>
          <w:sz w:val="32"/>
          <w:szCs w:val="32"/>
        </w:rPr>
        <w:t>亿元。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（三）省委、省政府明确支持的其他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、新型高校。</w:t>
      </w:r>
    </w:p>
    <w:p w:rsidR="00EC058B" w:rsidRPr="000B574A" w:rsidRDefault="00EC058B" w:rsidP="00EC058B">
      <w:pPr>
        <w:spacing w:line="600" w:lineRule="exact"/>
        <w:rPr>
          <w:rFonts w:eastAsia="黑体"/>
          <w:color w:val="000000"/>
          <w:kern w:val="0"/>
          <w:sz w:val="32"/>
          <w:szCs w:val="32"/>
          <w:lang w:bidi="ar"/>
        </w:rPr>
      </w:pPr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 xml:space="preserve">   </w:t>
      </w:r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>三、健全管理体制</w:t>
      </w:r>
    </w:p>
    <w:p w:rsidR="00EC058B" w:rsidRPr="000B574A" w:rsidRDefault="00EC058B" w:rsidP="00EC058B">
      <w:pPr>
        <w:autoSpaceDE w:val="0"/>
        <w:adjustRightIn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（一）联席会议及其办公室。</w:t>
      </w:r>
      <w:r w:rsidRPr="000B574A">
        <w:rPr>
          <w:rFonts w:eastAsia="仿宋_GB2312"/>
          <w:color w:val="000000"/>
          <w:sz w:val="32"/>
          <w:szCs w:val="32"/>
        </w:rPr>
        <w:t>建立浙江省支持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和新型高校建设工作联席会议制度（以下简称联席会议），统筹协调推进全省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和新型高校建设工作，研究、审议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和新型高校发展规划和建设方案、建设进展和绩效、省部（校、院）合作协议、重大支持政策及其他重大事项。每一个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、新型高校，明确一位省领导牵头联系。联席会议办公室设在省财政厅，承担日常管理和组织协调工作。</w:t>
      </w:r>
    </w:p>
    <w:p w:rsidR="00EC058B" w:rsidRPr="000B574A" w:rsidRDefault="00EC058B" w:rsidP="00EC058B">
      <w:pPr>
        <w:overflowPunct w:val="0"/>
        <w:autoSpaceDE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（二）评审委员会。</w:t>
      </w:r>
      <w:r w:rsidRPr="000B574A">
        <w:rPr>
          <w:rFonts w:eastAsia="仿宋_GB2312"/>
          <w:color w:val="000000"/>
          <w:sz w:val="32"/>
          <w:szCs w:val="32"/>
        </w:rPr>
        <w:t>联席会议下设评审委员会，是联席会议的决策参谋机构，负责对拟提交联席会议审议的事项进行评审。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（三）管理部门。</w:t>
      </w:r>
      <w:r w:rsidRPr="000B574A">
        <w:rPr>
          <w:rFonts w:eastAsia="仿宋_GB2312"/>
          <w:color w:val="000000"/>
          <w:sz w:val="32"/>
          <w:szCs w:val="32"/>
        </w:rPr>
        <w:t>省科技厅、省教育厅为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、新型高校建设的牵头管理部门，会同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省级行业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主管部门、有关职能部门和市县（市、区）政府组织开展需求审核；省发展改革委、省财政厅、省自然资源厅、省审计厅等职能部门</w:t>
      </w:r>
      <w:r w:rsidRPr="000B574A">
        <w:rPr>
          <w:rFonts w:eastAsia="仿宋_GB2312"/>
          <w:color w:val="000000"/>
          <w:sz w:val="32"/>
          <w:szCs w:val="32"/>
        </w:rPr>
        <w:lastRenderedPageBreak/>
        <w:t>履行基本建设、资金管理、用地保障、审计监督等管理职责。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lang w:bidi="ar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（四）市县（市、区）政府。</w:t>
      </w:r>
      <w:r w:rsidRPr="000B574A">
        <w:rPr>
          <w:rFonts w:eastAsia="仿宋_GB2312"/>
          <w:color w:val="000000"/>
          <w:sz w:val="32"/>
          <w:szCs w:val="32"/>
        </w:rPr>
        <w:t>履行管理职责，按要求落实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和新型高校建设责任、有关支持政策。</w:t>
      </w: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黑体"/>
          <w:color w:val="000000"/>
          <w:kern w:val="0"/>
          <w:sz w:val="32"/>
          <w:szCs w:val="32"/>
          <w:lang w:bidi="ar"/>
        </w:rPr>
      </w:pPr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>四、</w:t>
      </w:r>
      <w:proofErr w:type="gramStart"/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>构建全</w:t>
      </w:r>
      <w:proofErr w:type="gramEnd"/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>流程支持机制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lang w:bidi="ar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（一）需求评审。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、新型高校提交发展规划、建设方案、年度工作计划、建设进展、绩效目标和完成情况等，提出人才、资金、基本建设等政策需求。牵头管理部门会同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省级行业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主管部门、有关职能部门和市县（市、区）政府组织开展需求审核，提出审核意见报联席会议办公室。联席会议办公室组织评审委员会进行评审，形成评审意见。评审通过后，联席会议办公室将评审意见提交联席会议审议，由联席会议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作出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决议，视情按程序报省委、省政府批准。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lang w:bidi="ar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（二）资金管理。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强化预算管理，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、新型高校按照同级财政预算编制要求编制年度收支预算。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、新型高校按照国家和省财政财务管理规定，建立健全和落实内控制度；加强对预算资金的管理，做到专账核算、专款专用；按季向省有关部门报送财务报告。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楷体GB2312"/>
          <w:color w:val="000000"/>
          <w:sz w:val="32"/>
          <w:szCs w:val="32"/>
          <w:lang w:bidi="ar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（三）绩效评价。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>在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、新型高校自评的基础上，以</w:t>
      </w:r>
      <w:r w:rsidRPr="000B574A">
        <w:rPr>
          <w:rFonts w:eastAsia="仿宋_GB2312"/>
          <w:color w:val="000000"/>
          <w:sz w:val="32"/>
          <w:szCs w:val="32"/>
        </w:rPr>
        <w:t>3-5</w:t>
      </w:r>
      <w:r w:rsidRPr="000B574A">
        <w:rPr>
          <w:rFonts w:eastAsia="仿宋_GB2312"/>
          <w:color w:val="000000"/>
          <w:sz w:val="32"/>
          <w:szCs w:val="32"/>
        </w:rPr>
        <w:t>年为周期，牵头管理部门会同有关部门，采取过程与目标管理相结合，年度评价、中期评估、期满考核相结合，专家评价和</w:t>
      </w:r>
      <w:r w:rsidRPr="000B574A">
        <w:rPr>
          <w:rFonts w:eastAsia="仿宋_GB2312"/>
          <w:color w:val="000000"/>
          <w:sz w:val="32"/>
          <w:szCs w:val="32"/>
        </w:rPr>
        <w:lastRenderedPageBreak/>
        <w:t>第三方机构评价相结合的方式，对建设情况、绩效总体目标和阶段性目标完成情况、预算资金执行和财务管理情况等内容进行评价。绩效评价报告提交联席会议办公室，由联席会议办公室提交联席会议审议，审议通过后作为支持周期内及下一轮政策支持的重要依据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楷体GB2312"/>
          <w:color w:val="000000"/>
          <w:sz w:val="32"/>
          <w:szCs w:val="32"/>
          <w:lang w:bidi="ar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（四）审计监督。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lang w:bidi="ar"/>
        </w:rPr>
      </w:pPr>
      <w:r w:rsidRPr="000B574A">
        <w:rPr>
          <w:rFonts w:eastAsia="仿宋_GB2312"/>
          <w:color w:val="000000"/>
          <w:sz w:val="32"/>
          <w:szCs w:val="32"/>
        </w:rPr>
        <w:t>省审计厅依法加强对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、新型高校的审计监督，推进审计全覆盖。省教育厅、省科技厅、省财政厅等协助配合做好审计监督等工作。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、新型高校应加强财政资金、项目建设、成果转化等管理，充分发挥内部审计和监察机构的作用，切实履行内部监督职责。</w:t>
      </w:r>
    </w:p>
    <w:p w:rsidR="00EC058B" w:rsidRPr="000B574A" w:rsidRDefault="00EC058B" w:rsidP="00EC058B">
      <w:pPr>
        <w:spacing w:line="600" w:lineRule="exact"/>
        <w:rPr>
          <w:rFonts w:eastAsia="黑体"/>
          <w:color w:val="000000"/>
          <w:kern w:val="0"/>
          <w:sz w:val="32"/>
          <w:szCs w:val="32"/>
          <w:lang w:bidi="ar"/>
        </w:rPr>
      </w:pPr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 xml:space="preserve">     </w:t>
      </w:r>
      <w:r w:rsidRPr="000B574A">
        <w:rPr>
          <w:rFonts w:eastAsia="黑体"/>
          <w:color w:val="000000"/>
          <w:kern w:val="0"/>
          <w:sz w:val="32"/>
          <w:szCs w:val="32"/>
          <w:lang w:bidi="ar"/>
        </w:rPr>
        <w:t>五、保障措施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（一）强化部门协同。</w:t>
      </w:r>
      <w:r w:rsidRPr="000B574A">
        <w:rPr>
          <w:rFonts w:eastAsia="仿宋_GB2312"/>
          <w:color w:val="000000"/>
          <w:sz w:val="32"/>
          <w:szCs w:val="32"/>
        </w:rPr>
        <w:t>在联席会议的统一领导下，建立由联席会议办公室牵头，省级相关部门协同、省市县（市、区）三级联动的工作推进机制，加强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和新型高校建设工作的统筹和推进落实。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（二）优化服务效能。</w:t>
      </w:r>
      <w:r w:rsidRPr="000B574A">
        <w:rPr>
          <w:rFonts w:eastAsia="仿宋_GB2312"/>
          <w:color w:val="000000"/>
          <w:sz w:val="32"/>
          <w:szCs w:val="32"/>
        </w:rPr>
        <w:t>落实</w:t>
      </w:r>
      <w:r w:rsidRPr="000B574A">
        <w:rPr>
          <w:rFonts w:eastAsia="仿宋_GB2312"/>
          <w:color w:val="000000"/>
          <w:sz w:val="32"/>
          <w:szCs w:val="32"/>
        </w:rPr>
        <w:t>“</w:t>
      </w:r>
      <w:r w:rsidRPr="000B574A">
        <w:rPr>
          <w:rFonts w:eastAsia="仿宋_GB2312"/>
          <w:color w:val="000000"/>
          <w:sz w:val="32"/>
          <w:szCs w:val="32"/>
        </w:rPr>
        <w:t>放管服</w:t>
      </w:r>
      <w:r w:rsidRPr="000B574A">
        <w:rPr>
          <w:rFonts w:eastAsia="仿宋_GB2312"/>
          <w:color w:val="000000"/>
          <w:sz w:val="32"/>
          <w:szCs w:val="32"/>
        </w:rPr>
        <w:t>”</w:t>
      </w:r>
      <w:r w:rsidRPr="000B574A">
        <w:rPr>
          <w:rFonts w:eastAsia="仿宋_GB2312"/>
          <w:color w:val="000000"/>
          <w:sz w:val="32"/>
          <w:szCs w:val="32"/>
        </w:rPr>
        <w:t>改革要求，常态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化开展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多部门政策辅导和信息共享，加大专题培训力度，加强与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和新型高校的政策、业务沟通协商，优化服务效能。</w:t>
      </w:r>
    </w:p>
    <w:p w:rsidR="00EC058B" w:rsidRPr="000B574A" w:rsidRDefault="00EC058B" w:rsidP="00EC058B">
      <w:pPr>
        <w:autoSpaceDE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楷体GB2312"/>
          <w:color w:val="000000"/>
          <w:sz w:val="32"/>
          <w:szCs w:val="32"/>
          <w:lang w:bidi="ar"/>
        </w:rPr>
        <w:t>（三）完善政策评估。</w:t>
      </w:r>
      <w:r w:rsidRPr="000B574A">
        <w:rPr>
          <w:rFonts w:eastAsia="仿宋_GB2312"/>
          <w:color w:val="000000"/>
          <w:sz w:val="32"/>
          <w:szCs w:val="32"/>
        </w:rPr>
        <w:t>健全政策执行跟踪问效机制，建立科学的动态调整机制，逐步形成全省统一的</w:t>
      </w:r>
      <w:proofErr w:type="gramStart"/>
      <w:r w:rsidRPr="000B574A">
        <w:rPr>
          <w:rFonts w:eastAsia="仿宋_GB2312"/>
          <w:color w:val="000000"/>
          <w:sz w:val="32"/>
          <w:szCs w:val="32"/>
        </w:rPr>
        <w:t>重大科创平台</w:t>
      </w:r>
      <w:proofErr w:type="gramEnd"/>
      <w:r w:rsidRPr="000B574A">
        <w:rPr>
          <w:rFonts w:eastAsia="仿宋_GB2312"/>
          <w:color w:val="000000"/>
          <w:sz w:val="32"/>
          <w:szCs w:val="32"/>
        </w:rPr>
        <w:t>和新型高校的政策体系。</w:t>
      </w:r>
    </w:p>
    <w:p w:rsidR="00EC058B" w:rsidRPr="000B574A" w:rsidRDefault="00EC058B" w:rsidP="00EC058B">
      <w:pPr>
        <w:pStyle w:val="a0"/>
        <w:spacing w:after="0" w:line="600" w:lineRule="exact"/>
        <w:ind w:left="0" w:firstLine="320"/>
        <w:rPr>
          <w:rFonts w:ascii="Times New Roman" w:eastAsia="仿宋_GB2312" w:hAnsi="Times New Roman" w:cs="Times New Roman"/>
          <w:color w:val="000000"/>
          <w:sz w:val="32"/>
          <w:lang w:val="en-US" w:bidi="ar-SA"/>
        </w:rPr>
      </w:pPr>
    </w:p>
    <w:p w:rsidR="00EC058B" w:rsidRPr="000B574A" w:rsidRDefault="00EC058B" w:rsidP="00EC058B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EC058B" w:rsidRPr="000B574A" w:rsidRDefault="00EC058B" w:rsidP="00EC058B">
      <w:pPr>
        <w:pStyle w:val="a0"/>
        <w:spacing w:after="0" w:line="600" w:lineRule="exact"/>
        <w:ind w:left="0" w:firstLine="320"/>
        <w:rPr>
          <w:rFonts w:ascii="Times New Roman" w:eastAsia="仿宋_GB2312" w:hAnsi="Times New Roman" w:cs="Times New Roman"/>
          <w:color w:val="000000"/>
          <w:sz w:val="32"/>
          <w:lang w:val="en-US" w:bidi="ar-SA"/>
        </w:rPr>
      </w:pPr>
    </w:p>
    <w:p w:rsidR="00EC058B" w:rsidRPr="000B574A" w:rsidRDefault="00EC058B" w:rsidP="00EC058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 xml:space="preserve">                       </w:t>
      </w:r>
      <w:r w:rsidRPr="000B574A">
        <w:rPr>
          <w:rFonts w:eastAsia="仿宋_GB2312"/>
          <w:color w:val="000000"/>
          <w:sz w:val="32"/>
          <w:szCs w:val="32"/>
        </w:rPr>
        <w:t>浙江省人民政府办公厅</w:t>
      </w:r>
    </w:p>
    <w:p w:rsidR="00EC058B" w:rsidRPr="000B574A" w:rsidRDefault="00EC058B" w:rsidP="00EC058B">
      <w:pPr>
        <w:overflowPunct w:val="0"/>
        <w:autoSpaceDE w:val="0"/>
        <w:autoSpaceDN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 w:rsidRPr="000B574A">
        <w:rPr>
          <w:rFonts w:eastAsia="仿宋_GB2312"/>
          <w:color w:val="000000"/>
          <w:sz w:val="32"/>
          <w:szCs w:val="32"/>
        </w:rPr>
        <w:t xml:space="preserve">                               2022</w:t>
      </w:r>
      <w:r w:rsidRPr="000B574A">
        <w:rPr>
          <w:rFonts w:eastAsia="仿宋_GB2312"/>
          <w:color w:val="000000"/>
          <w:sz w:val="32"/>
          <w:szCs w:val="32"/>
        </w:rPr>
        <w:t>年</w:t>
      </w:r>
      <w:r w:rsidRPr="000B574A">
        <w:rPr>
          <w:rFonts w:eastAsia="仿宋_GB2312"/>
          <w:color w:val="000000"/>
          <w:sz w:val="32"/>
          <w:szCs w:val="32"/>
        </w:rPr>
        <w:t>12</w:t>
      </w:r>
      <w:r w:rsidRPr="000B574A">
        <w:rPr>
          <w:rFonts w:eastAsia="仿宋_GB2312"/>
          <w:color w:val="000000"/>
          <w:sz w:val="32"/>
          <w:szCs w:val="32"/>
        </w:rPr>
        <w:t>月</w:t>
      </w:r>
      <w:r w:rsidRPr="000B574A">
        <w:rPr>
          <w:rFonts w:eastAsia="仿宋_GB2312"/>
          <w:color w:val="000000"/>
          <w:sz w:val="32"/>
          <w:szCs w:val="32"/>
        </w:rPr>
        <w:t xml:space="preserve">  </w:t>
      </w:r>
      <w:r w:rsidRPr="000B574A">
        <w:rPr>
          <w:rFonts w:eastAsia="仿宋_GB2312"/>
          <w:color w:val="000000"/>
          <w:sz w:val="32"/>
          <w:szCs w:val="32"/>
        </w:rPr>
        <w:t>日</w:t>
      </w:r>
    </w:p>
    <w:p w:rsidR="007F11F9" w:rsidRPr="00EC058B" w:rsidRDefault="007F11F9">
      <w:bookmarkStart w:id="0" w:name="_GoBack"/>
      <w:bookmarkEnd w:id="0"/>
    </w:p>
    <w:sectPr w:rsidR="007F11F9" w:rsidRPr="00EC0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方正仿宋_GBK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8B"/>
    <w:rsid w:val="007F11F9"/>
    <w:rsid w:val="00E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147F6-7FB2-4C62-B669-C2B4E34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C0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EC058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C058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next w:val="a"/>
    <w:link w:val="Char0"/>
    <w:qFormat/>
    <w:rsid w:val="00EC058B"/>
    <w:pPr>
      <w:ind w:left="226" w:firstLineChars="100" w:firstLine="420"/>
    </w:pPr>
    <w:rPr>
      <w:rFonts w:ascii="宋体" w:hAnsi="宋体" w:cs="宋体"/>
      <w:szCs w:val="32"/>
      <w:lang w:val="zh-CN" w:bidi="zh-CN"/>
    </w:rPr>
  </w:style>
  <w:style w:type="character" w:customStyle="1" w:styleId="Char0">
    <w:name w:val="正文首行缩进 Char"/>
    <w:basedOn w:val="Char"/>
    <w:link w:val="a0"/>
    <w:rsid w:val="00EC058B"/>
    <w:rPr>
      <w:rFonts w:ascii="宋体" w:eastAsia="宋体" w:hAnsi="宋体" w:cs="宋体"/>
      <w:szCs w:val="32"/>
      <w:lang w:val="zh-CN" w:bidi="zh-CN"/>
    </w:rPr>
  </w:style>
  <w:style w:type="paragraph" w:styleId="a5">
    <w:name w:val="Normal (Web)"/>
    <w:basedOn w:val="a"/>
    <w:qFormat/>
    <w:rsid w:val="00EC058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mehoo</dc:creator>
  <cp:keywords/>
  <dc:description/>
  <cp:lastModifiedBy>mehoo</cp:lastModifiedBy>
  <cp:revision>1</cp:revision>
  <dcterms:created xsi:type="dcterms:W3CDTF">2022-12-06T10:37:00Z</dcterms:created>
  <dcterms:modified xsi:type="dcterms:W3CDTF">2022-12-06T10:38:00Z</dcterms:modified>
</cp:coreProperties>
</file>