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A4" w:rsidRDefault="00CE19A4" w:rsidP="00CE19A4">
      <w:pPr>
        <w:pStyle w:val="a4"/>
        <w:spacing w:before="0" w:beforeAutospacing="0" w:after="0" w:afterAutospacing="0" w:line="600" w:lineRule="exact"/>
        <w:jc w:val="both"/>
        <w:rPr>
          <w:rFonts w:ascii="Times New Roman" w:eastAsia="黑体" w:hAnsi="Times New Roman" w:cs="Times New Roman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kern w:val="2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2"/>
          <w:sz w:val="32"/>
          <w:szCs w:val="32"/>
        </w:rPr>
        <w:t>2</w:t>
      </w:r>
    </w:p>
    <w:p w:rsidR="00CE19A4" w:rsidRDefault="00CE19A4" w:rsidP="00CE19A4">
      <w:pPr>
        <w:pStyle w:val="a4"/>
        <w:spacing w:before="0" w:beforeAutospacing="0" w:after="0" w:afterAutospacing="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第二十五届高交会各专业</w:t>
      </w:r>
      <w:proofErr w:type="gramStart"/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展联系</w:t>
      </w:r>
      <w:proofErr w:type="gramEnd"/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方式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554"/>
        <w:gridCol w:w="6818"/>
        <w:gridCol w:w="2181"/>
        <w:gridCol w:w="2524"/>
      </w:tblGrid>
      <w:tr w:rsidR="00CE19A4" w:rsidTr="007230CE">
        <w:tc>
          <w:tcPr>
            <w:tcW w:w="161" w:type="pct"/>
            <w:shd w:val="clear" w:color="auto" w:fill="auto"/>
            <w:vAlign w:val="center"/>
          </w:tcPr>
          <w:bookmarkEnd w:id="0"/>
          <w:p w:rsidR="00CE19A4" w:rsidRDefault="00CE19A4" w:rsidP="007230CE">
            <w:pPr>
              <w:jc w:val="center"/>
            </w:pPr>
            <w:r w:rsidRPr="00E2734B">
              <w:rPr>
                <w:b/>
                <w:bCs/>
                <w:sz w:val="22"/>
                <w:szCs w:val="28"/>
              </w:rPr>
              <w:t>序号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 w:rsidRPr="00E2734B">
              <w:rPr>
                <w:b/>
                <w:bCs/>
                <w:sz w:val="22"/>
                <w:szCs w:val="28"/>
              </w:rPr>
              <w:t>展区名称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 w:rsidRPr="00E2734B">
              <w:rPr>
                <w:b/>
                <w:bCs/>
                <w:sz w:val="22"/>
                <w:szCs w:val="28"/>
              </w:rPr>
              <w:t>展示范围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 w:rsidRPr="00E2734B">
              <w:rPr>
                <w:b/>
                <w:bCs/>
                <w:sz w:val="22"/>
                <w:szCs w:val="28"/>
              </w:rPr>
              <w:t>联系电话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 w:rsidRPr="00E2734B">
              <w:rPr>
                <w:b/>
                <w:bCs/>
                <w:sz w:val="22"/>
                <w:szCs w:val="28"/>
              </w:rPr>
              <w:t>电子邮件</w:t>
            </w:r>
          </w:p>
        </w:tc>
      </w:tr>
      <w:tr w:rsidR="00CE19A4" w:rsidTr="007230CE">
        <w:trPr>
          <w:trHeight w:val="794"/>
        </w:trPr>
        <w:tc>
          <w:tcPr>
            <w:tcW w:w="161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高技术服务展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E19A4" w:rsidRDefault="00CE19A4" w:rsidP="007230CE">
            <w:pPr>
              <w:jc w:val="left"/>
            </w:pPr>
            <w:r>
              <w:t>组织投融资机构、技术转移服务机构及其他相关中介机构参展，为科技创新和成果转化提供全方位的支持与服务。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0755-82848889</w:t>
            </w:r>
            <w:r>
              <w:t>，</w:t>
            </w:r>
            <w:r>
              <w:t>82848884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244923542@qq.com </w:t>
            </w:r>
          </w:p>
          <w:p w:rsidR="00CE19A4" w:rsidRDefault="00CE19A4" w:rsidP="007230CE">
            <w:pPr>
              <w:jc w:val="center"/>
            </w:pPr>
            <w:r>
              <w:t>chtfzhang@163.com</w:t>
            </w:r>
          </w:p>
        </w:tc>
      </w:tr>
      <w:tr w:rsidR="00CE19A4" w:rsidTr="007230CE">
        <w:trPr>
          <w:trHeight w:val="1091"/>
        </w:trPr>
        <w:tc>
          <w:tcPr>
            <w:tcW w:w="161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新一代信息技术展（简称</w:t>
            </w:r>
            <w:r>
              <w:t>IT</w:t>
            </w:r>
            <w:r>
              <w:t>展）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E19A4" w:rsidRDefault="00CE19A4" w:rsidP="007230CE">
            <w:pPr>
              <w:jc w:val="left"/>
            </w:pPr>
            <w:r>
              <w:t>IT</w:t>
            </w:r>
            <w:r>
              <w:t>展集中展示新一代信息技术的最新成果、发展趋势及其在相关行业的最新应用。设立数字经济、人工智能、智能终端、</w:t>
            </w:r>
            <w:r>
              <w:t>5G</w:t>
            </w:r>
            <w:r>
              <w:t>商用及物联网四大亮点主题展区，同时展示芯片技术、大数据与云计算、信息安全、区块链等热点技术和产品。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0755-82848854</w:t>
            </w:r>
            <w:r>
              <w:t>，</w:t>
            </w:r>
            <w:r>
              <w:t>82848852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zhangl@chtf.com</w:t>
            </w:r>
          </w:p>
        </w:tc>
      </w:tr>
      <w:tr w:rsidR="00CE19A4" w:rsidTr="007230CE">
        <w:trPr>
          <w:trHeight w:val="1151"/>
        </w:trPr>
        <w:tc>
          <w:tcPr>
            <w:tcW w:w="161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3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环保展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E19A4" w:rsidRDefault="00CE19A4" w:rsidP="007230CE">
            <w:pPr>
              <w:jc w:val="left"/>
            </w:pPr>
            <w:r>
              <w:t>围绕</w:t>
            </w:r>
            <w:r>
              <w:t>“</w:t>
            </w:r>
            <w:r>
              <w:t>双碳</w:t>
            </w:r>
            <w:r>
              <w:t>”</w:t>
            </w:r>
            <w:r>
              <w:t>战略，聚焦环保和节能、资源与环境、绿色生活等产业发展趋势，重点</w:t>
            </w:r>
            <w:proofErr w:type="gramStart"/>
            <w:r>
              <w:t>展示水</w:t>
            </w:r>
            <w:proofErr w:type="gramEnd"/>
            <w:r>
              <w:t>治理、空气净化、水净化、垃圾处理、智慧环保、储能、充电桩、智慧电力、环保材料、绿色建筑、节能应用等领域的最新产品、技术及应用。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0755-82848781,82848952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sws@chtf.com </w:t>
            </w:r>
            <w:r>
              <w:t>、</w:t>
            </w:r>
            <w:r>
              <w:t>gp@chtf.com</w:t>
            </w:r>
          </w:p>
        </w:tc>
      </w:tr>
      <w:tr w:rsidR="00CE19A4" w:rsidTr="007230CE">
        <w:trPr>
          <w:trHeight w:val="1433"/>
        </w:trPr>
        <w:tc>
          <w:tcPr>
            <w:tcW w:w="161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数字医疗展</w:t>
            </w:r>
          </w:p>
          <w:p w:rsidR="00CE19A4" w:rsidRDefault="00CE19A4" w:rsidP="007230CE">
            <w:pPr>
              <w:jc w:val="center"/>
            </w:pPr>
          </w:p>
        </w:tc>
        <w:tc>
          <w:tcPr>
            <w:tcW w:w="2521" w:type="pct"/>
            <w:shd w:val="clear" w:color="auto" w:fill="auto"/>
            <w:vAlign w:val="center"/>
          </w:tcPr>
          <w:p w:rsidR="00CE19A4" w:rsidRDefault="00CE19A4" w:rsidP="007230CE">
            <w:pPr>
              <w:jc w:val="left"/>
            </w:pPr>
            <w:r>
              <w:t>紧跟医疗行业热点，全面展示智慧医疗（</w:t>
            </w:r>
            <w:r>
              <w:t>5G+</w:t>
            </w:r>
            <w:r>
              <w:t>医疗、科技</w:t>
            </w:r>
            <w:r>
              <w:t>+</w:t>
            </w:r>
            <w:r>
              <w:t>中医、</w:t>
            </w:r>
            <w:proofErr w:type="gramStart"/>
            <w:r>
              <w:t>医疗大</w:t>
            </w:r>
            <w:proofErr w:type="gramEnd"/>
            <w:r>
              <w:t>数据、智慧医院）、智能养老、康复理疗、可穿戴医疗健康以及公共健康防护等智慧医疗健康全产业</w:t>
            </w:r>
            <w:proofErr w:type="gramStart"/>
            <w:r>
              <w:t>链最新</w:t>
            </w:r>
            <w:proofErr w:type="gramEnd"/>
            <w:r>
              <w:t>技术、产品及服务。打造专业的医疗采购贸易平台、最佳的企业形象发布地以及专业信息集散地和学术、技术交流平台。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0755-88312781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hyperlink r:id="rId5" w:history="1">
              <w:r>
                <w:t>shubai.zhang@infoma.com</w:t>
              </w:r>
            </w:hyperlink>
          </w:p>
        </w:tc>
      </w:tr>
      <w:tr w:rsidR="00CE19A4" w:rsidTr="007230CE">
        <w:trPr>
          <w:trHeight w:val="1745"/>
        </w:trPr>
        <w:tc>
          <w:tcPr>
            <w:tcW w:w="161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智慧城市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E19A4" w:rsidRDefault="00CE19A4" w:rsidP="007230CE">
            <w:pPr>
              <w:jc w:val="left"/>
            </w:pPr>
            <w:r>
              <w:t>汇集城市规划和管理、通讯和信息技术、大数据和云计算、物联网、人工智能、</w:t>
            </w:r>
            <w:r>
              <w:t>5G</w:t>
            </w:r>
            <w:r>
              <w:t>网络技术应用、移动应用、智能硬件、车联网、区块链等新</w:t>
            </w:r>
            <w:r>
              <w:t>ICT</w:t>
            </w:r>
            <w:r>
              <w:t>领域技术与产品，全面展示当今全球前瞻的大数据、云计算、物联网、互联网、人工智能的创新应用技术、优秀研发成果和行业解决方案，展示</w:t>
            </w:r>
            <w:r>
              <w:t>“</w:t>
            </w:r>
            <w:r>
              <w:t>数字化</w:t>
            </w:r>
            <w:r>
              <w:t>+</w:t>
            </w:r>
            <w:r>
              <w:t>智慧城市</w:t>
            </w:r>
            <w:r>
              <w:t>”</w:t>
            </w:r>
            <w:r>
              <w:t>建设概念和数字经济在智慧城市领域的应用方案，以数字化转型支持传统产业优化升级和智慧社会的建设。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0755-86954682</w:t>
            </w:r>
          </w:p>
          <w:p w:rsidR="00CE19A4" w:rsidRDefault="00CE19A4" w:rsidP="007230CE">
            <w:pPr>
              <w:jc w:val="center"/>
            </w:pPr>
          </w:p>
        </w:tc>
        <w:tc>
          <w:tcPr>
            <w:tcW w:w="933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hyperlink r:id="rId6" w:history="1">
              <w:r>
                <w:t>linda_zhou@asiadg.com</w:t>
              </w:r>
            </w:hyperlink>
          </w:p>
        </w:tc>
      </w:tr>
      <w:tr w:rsidR="00CE19A4" w:rsidTr="007230CE">
        <w:trPr>
          <w:trHeight w:val="1156"/>
        </w:trPr>
        <w:tc>
          <w:tcPr>
            <w:tcW w:w="161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lastRenderedPageBreak/>
              <w:t>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高端装备制造展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E19A4" w:rsidRDefault="00CE19A4" w:rsidP="007230CE">
            <w:pPr>
              <w:jc w:val="left"/>
            </w:pPr>
            <w:r>
              <w:t>聚焦</w:t>
            </w:r>
            <w:r>
              <w:t>“</w:t>
            </w:r>
            <w:r>
              <w:t>中国制造</w:t>
            </w:r>
            <w:r>
              <w:t>2025”</w:t>
            </w:r>
            <w:r>
              <w:t>重点领域，设立激光展、智能制造、工业机器人和工业互联网四大专区</w:t>
            </w:r>
            <w:r>
              <w:t>,</w:t>
            </w:r>
            <w:r>
              <w:t>重点展示智能装备、工业机器人、智能工厂、工业个性化定制、激光产品、高端装备和工业互联网等相关领域的最新技术、产品和解决方案。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0755-82848892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545266020@qq.com</w:t>
            </w:r>
          </w:p>
        </w:tc>
      </w:tr>
      <w:tr w:rsidR="00CE19A4" w:rsidTr="007230CE">
        <w:trPr>
          <w:trHeight w:val="1605"/>
        </w:trPr>
        <w:tc>
          <w:tcPr>
            <w:tcW w:w="161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7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新型显示展</w:t>
            </w:r>
          </w:p>
        </w:tc>
        <w:tc>
          <w:tcPr>
            <w:tcW w:w="2521" w:type="pct"/>
            <w:shd w:val="clear" w:color="auto" w:fill="auto"/>
            <w:vAlign w:val="center"/>
          </w:tcPr>
          <w:p w:rsidR="00CE19A4" w:rsidRDefault="00CE19A4" w:rsidP="007230CE">
            <w:pPr>
              <w:jc w:val="left"/>
            </w:pPr>
            <w:r>
              <w:t>重点展示产业中最前沿的液晶面板模块（</w:t>
            </w:r>
            <w:r>
              <w:t>LCD</w:t>
            </w:r>
            <w:r>
              <w:t>）、有机电致发光技术</w:t>
            </w:r>
            <w:r>
              <w:t>(OLED)</w:t>
            </w:r>
            <w:r>
              <w:t>、量子点显示技术（</w:t>
            </w:r>
            <w:r>
              <w:t>QLED</w:t>
            </w:r>
            <w:r>
              <w:t>）、微型发光二极管显示技术（</w:t>
            </w:r>
            <w:r>
              <w:t>MICRO-LED</w:t>
            </w:r>
            <w:r>
              <w:t>）、</w:t>
            </w:r>
            <w:r>
              <w:t>MINI-LED</w:t>
            </w:r>
            <w:r>
              <w:t>（小间距</w:t>
            </w:r>
            <w:r>
              <w:t>LED</w:t>
            </w:r>
            <w:r>
              <w:t>）显示、大屏幕激光投影显示技术、柔性显示、半导体显示、商用显示、数字标牌、超高清电视，半导体显示材料，半导体显示设计，半导体显示设备及半导体显示芯片制造等显示行业中</w:t>
            </w:r>
            <w:proofErr w:type="gramStart"/>
            <w:r>
              <w:t>最</w:t>
            </w:r>
            <w:proofErr w:type="gramEnd"/>
            <w:r>
              <w:t>尖端、最前沿的技术与产品。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0755-86149990</w:t>
            </w:r>
            <w:r>
              <w:t>，</w:t>
            </w:r>
            <w:r>
              <w:t>86149086</w:t>
            </w:r>
          </w:p>
        </w:tc>
        <w:tc>
          <w:tcPr>
            <w:tcW w:w="933" w:type="pct"/>
            <w:shd w:val="clear" w:color="auto" w:fill="auto"/>
            <w:vAlign w:val="center"/>
          </w:tcPr>
          <w:p w:rsidR="00CE19A4" w:rsidRDefault="00CE19A4" w:rsidP="007230CE">
            <w:pPr>
              <w:jc w:val="center"/>
            </w:pPr>
            <w:r>
              <w:t>409781219@qq.com</w:t>
            </w:r>
          </w:p>
          <w:p w:rsidR="00CE19A4" w:rsidRDefault="00CE19A4" w:rsidP="007230CE">
            <w:pPr>
              <w:jc w:val="center"/>
            </w:pPr>
            <w:r>
              <w:t>lidianfei@chinafpd.net</w:t>
            </w:r>
          </w:p>
        </w:tc>
      </w:tr>
    </w:tbl>
    <w:p w:rsidR="00CE19A4" w:rsidRDefault="00CE19A4" w:rsidP="00CE19A4">
      <w:pPr>
        <w:pStyle w:val="a4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  <w:sectPr w:rsidR="00CE19A4">
          <w:footerReference w:type="even" r:id="rId7"/>
          <w:footerReference w:type="default" r:id="rId8"/>
          <w:pgSz w:w="16838" w:h="11906" w:orient="landscape"/>
          <w:pgMar w:top="1587" w:right="2098" w:bottom="1474" w:left="1440" w:header="851" w:footer="992" w:gutter="0"/>
          <w:cols w:space="720"/>
          <w:docGrid w:type="lines" w:linePitch="315"/>
        </w:sectPr>
      </w:pPr>
    </w:p>
    <w:p w:rsidR="007D7024" w:rsidRPr="00CE19A4" w:rsidRDefault="007D7024"/>
    <w:sectPr w:rsidR="007D7024" w:rsidRPr="00CE1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FF" w:rsidRDefault="00CE19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FF" w:rsidRDefault="00CE19A4" w:rsidP="007230CE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A4"/>
    <w:rsid w:val="007D7024"/>
    <w:rsid w:val="00C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1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19A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CE19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1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19A4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CE19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_zhou@asiadg.com" TargetMode="External"/><Relationship Id="rId5" Type="http://schemas.openxmlformats.org/officeDocument/2006/relationships/hyperlink" Target="mailto:shubai.zhang@infom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2023-09-04T08:11:00Z</dcterms:created>
  <dcterms:modified xsi:type="dcterms:W3CDTF">2023-09-04T08:11:00Z</dcterms:modified>
</cp:coreProperties>
</file>